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70728" w14:textId="77777777" w:rsidR="009A0FF6" w:rsidRDefault="009A0FF6" w:rsidP="002F6CE5">
      <w:pPr>
        <w:ind w:left="2292" w:hanging="2292"/>
      </w:pPr>
      <w:bookmarkStart w:id="0" w:name="_Toc209500354"/>
      <w:bookmarkStart w:id="1" w:name="_Toc219275270"/>
      <w:bookmarkStart w:id="2" w:name="_Toc219275340"/>
      <w:bookmarkStart w:id="3" w:name="_Toc219518985"/>
    </w:p>
    <w:p w14:paraId="0E8A76B5" w14:textId="77777777" w:rsidR="008720EB" w:rsidRPr="0089679F" w:rsidRDefault="0089663F" w:rsidP="002F6CE5">
      <w:pPr>
        <w:ind w:left="2292" w:hanging="2292"/>
        <w:rPr>
          <w:lang w:val="en-US"/>
        </w:rPr>
      </w:pPr>
      <w:r w:rsidRPr="0089679F">
        <w:rPr>
          <w:lang w:val="en-US"/>
        </w:rPr>
        <w:t xml:space="preserve">SCORECARD </w:t>
      </w:r>
      <w:r w:rsidRPr="0089679F">
        <w:rPr>
          <w:lang w:val="en-US"/>
        </w:rPr>
        <w:tab/>
        <w:t>United Nations Conference on Trade and Development (UNCTAD)</w:t>
      </w:r>
    </w:p>
    <w:p w14:paraId="70F8A3D1" w14:textId="77777777" w:rsidR="008720EB" w:rsidRPr="0089679F" w:rsidRDefault="008720EB" w:rsidP="002F6CE5">
      <w:pPr>
        <w:ind w:left="2292" w:hanging="2292"/>
        <w:rPr>
          <w:lang w:val="en-US"/>
        </w:rPr>
      </w:pPr>
    </w:p>
    <w:p w14:paraId="0DB16D42" w14:textId="77777777" w:rsidR="009B57FB" w:rsidRDefault="007B7BB5" w:rsidP="002F6CE5">
      <w:pPr>
        <w:ind w:left="2292" w:hanging="2292"/>
      </w:pPr>
      <w:fldSimple w:instr=" DOCPROPERTY  L_CONTACT  \* MERGEFORMAT ">
        <w:r w:rsidR="00096DA7">
          <w:t>Opgesteld door</w:t>
        </w:r>
      </w:fldSimple>
      <w:r w:rsidR="002F6CE5" w:rsidRPr="00785F18">
        <w:tab/>
      </w:r>
      <w:r w:rsidR="003A65E8">
        <w:t xml:space="preserve">Directie </w:t>
      </w:r>
      <w:r w:rsidR="00460E7F">
        <w:t>Multilaterale Instellingen en Mensenrechten</w:t>
      </w:r>
    </w:p>
    <w:p w14:paraId="6AB938D8" w14:textId="7B96DAA4" w:rsidR="002F6CE5" w:rsidRPr="00785F18" w:rsidRDefault="002F6CE5" w:rsidP="00D07878"/>
    <w:p w14:paraId="5EC69554" w14:textId="77777777" w:rsidR="002F6CE5" w:rsidRPr="00785F18" w:rsidRDefault="002F6CE5" w:rsidP="002F6CE5">
      <w:pPr>
        <w:ind w:left="2292" w:hanging="2292"/>
      </w:pPr>
    </w:p>
    <w:tbl>
      <w:tblPr>
        <w:tblW w:w="0" w:type="auto"/>
        <w:tblLook w:val="01E0" w:firstRow="1" w:lastRow="1" w:firstColumn="1" w:lastColumn="1" w:noHBand="0" w:noVBand="0"/>
      </w:tblPr>
      <w:tblGrid>
        <w:gridCol w:w="2246"/>
        <w:gridCol w:w="5480"/>
      </w:tblGrid>
      <w:tr w:rsidR="002F6CE5" w:rsidRPr="00785F18" w14:paraId="39F845EB" w14:textId="77777777" w:rsidTr="008F1B70">
        <w:tc>
          <w:tcPr>
            <w:tcW w:w="2268" w:type="dxa"/>
            <w:shd w:val="clear" w:color="auto" w:fill="auto"/>
          </w:tcPr>
          <w:p w14:paraId="035B8FB6" w14:textId="27767F0D" w:rsidR="002F6CE5" w:rsidRPr="00785F18" w:rsidRDefault="007B7BB5" w:rsidP="00D9307A">
            <w:fldSimple w:instr=" DOCPROPERTY  L_AUTHOR  \* MERGEFORMAT ">
              <w:r w:rsidR="00816CAA">
                <w:t>Redacteuren:</w:t>
              </w:r>
            </w:fldSimple>
          </w:p>
        </w:tc>
        <w:tc>
          <w:tcPr>
            <w:tcW w:w="5598" w:type="dxa"/>
            <w:shd w:val="clear" w:color="auto" w:fill="auto"/>
          </w:tcPr>
          <w:p w14:paraId="6AA4E493" w14:textId="09CCA2DC" w:rsidR="002F6CE5" w:rsidRDefault="00404913" w:rsidP="00221806">
            <w:r>
              <w:t>Linda van der Horst</w:t>
            </w:r>
            <w:r w:rsidR="00127D70">
              <w:t xml:space="preserve"> en Merijn Noppers</w:t>
            </w:r>
          </w:p>
          <w:p w14:paraId="52E1C2BA" w14:textId="5077263B" w:rsidR="002F6CE5" w:rsidRPr="00785F18" w:rsidRDefault="00404913" w:rsidP="00127D70">
            <w:r>
              <w:t>Afgestemd met</w:t>
            </w:r>
            <w:r w:rsidR="00127D70">
              <w:t>:</w:t>
            </w:r>
            <w:r w:rsidR="007B7BB5">
              <w:t xml:space="preserve"> IMH, DDE </w:t>
            </w:r>
            <w:r w:rsidR="00127D70">
              <w:t>en</w:t>
            </w:r>
            <w:r w:rsidR="007B7BB5">
              <w:t xml:space="preserve"> PV</w:t>
            </w:r>
            <w:r>
              <w:t xml:space="preserve"> GEV</w:t>
            </w:r>
          </w:p>
        </w:tc>
      </w:tr>
    </w:tbl>
    <w:p w14:paraId="049F14E0" w14:textId="77777777" w:rsidR="00991C2E" w:rsidRDefault="00991C2E" w:rsidP="00991C2E"/>
    <w:p w14:paraId="65F09A4F" w14:textId="77777777" w:rsidR="00991C2E" w:rsidRDefault="00991C2E" w:rsidP="00991C2E"/>
    <w:p w14:paraId="5A5CA6BC" w14:textId="77777777" w:rsidR="00991C2E" w:rsidRDefault="00991C2E" w:rsidP="00991C2E"/>
    <w:bookmarkEnd w:id="0"/>
    <w:bookmarkEnd w:id="1"/>
    <w:bookmarkEnd w:id="2"/>
    <w:bookmarkEnd w:id="3"/>
    <w:p w14:paraId="17F5A9F6" w14:textId="77777777" w:rsidR="00A908F9" w:rsidRDefault="00A908F9" w:rsidP="00A908F9">
      <w:pPr>
        <w:pStyle w:val="Kop-Inhoudsopgave"/>
      </w:pPr>
    </w:p>
    <w:p w14:paraId="4685F23F" w14:textId="77777777" w:rsidR="00A908F9" w:rsidRDefault="008720EB" w:rsidP="00A908F9">
      <w:pPr>
        <w:pStyle w:val="Kop-Inhoudsopgave"/>
      </w:pPr>
      <w:r>
        <w:br w:type="page"/>
      </w:r>
      <w:fldSimple w:instr=" DOCPROPERTY  L_TOC  \* MERGEFORMAT ">
        <w:bookmarkStart w:id="4" w:name="_Toc287454445"/>
        <w:bookmarkStart w:id="5" w:name="_Toc287446465"/>
        <w:bookmarkStart w:id="6" w:name="_Toc491267883"/>
        <w:r w:rsidR="00096DA7">
          <w:t>Inhoudsopgave</w:t>
        </w:r>
        <w:bookmarkEnd w:id="4"/>
        <w:bookmarkEnd w:id="5"/>
        <w:bookmarkEnd w:id="6"/>
      </w:fldSimple>
    </w:p>
    <w:p w14:paraId="41597D98" w14:textId="1DAFB348" w:rsidR="004706A9" w:rsidRDefault="006B2292">
      <w:pPr>
        <w:pStyle w:val="TOC1"/>
        <w:tabs>
          <w:tab w:val="right" w:leader="dot" w:pos="7716"/>
        </w:tabs>
        <w:rPr>
          <w:rFonts w:asciiTheme="minorHAnsi" w:eastAsiaTheme="minorEastAsia" w:hAnsiTheme="minorHAnsi" w:cstheme="minorBidi"/>
          <w:noProof/>
          <w:sz w:val="22"/>
          <w:szCs w:val="22"/>
        </w:rPr>
      </w:pPr>
      <w:r w:rsidRPr="00785F18">
        <w:fldChar w:fldCharType="begin"/>
      </w:r>
      <w:r w:rsidRPr="00785F18">
        <w:instrText xml:space="preserve"> TOC \t "Heading 1;2;Heading 2;3;Heading 3;4;Kop-Inhoudsopgave;1;Kop zonder nummering;1;Subtitle;2;Title;1" </w:instrText>
      </w:r>
      <w:r w:rsidRPr="00785F18">
        <w:fldChar w:fldCharType="separate"/>
      </w:r>
      <w:r w:rsidR="004706A9">
        <w:rPr>
          <w:noProof/>
        </w:rPr>
        <w:t>Inhoudsopgave</w:t>
      </w:r>
      <w:r w:rsidR="004706A9">
        <w:rPr>
          <w:noProof/>
        </w:rPr>
        <w:tab/>
      </w:r>
      <w:r w:rsidR="004706A9">
        <w:rPr>
          <w:noProof/>
        </w:rPr>
        <w:fldChar w:fldCharType="begin"/>
      </w:r>
      <w:r w:rsidR="004706A9">
        <w:rPr>
          <w:noProof/>
        </w:rPr>
        <w:instrText xml:space="preserve"> PAGEREF _Toc491267883 \h </w:instrText>
      </w:r>
      <w:r w:rsidR="004706A9">
        <w:rPr>
          <w:noProof/>
        </w:rPr>
      </w:r>
      <w:r w:rsidR="004706A9">
        <w:rPr>
          <w:noProof/>
        </w:rPr>
        <w:fldChar w:fldCharType="separate"/>
      </w:r>
      <w:r w:rsidR="004706A9">
        <w:rPr>
          <w:noProof/>
        </w:rPr>
        <w:t>2</w:t>
      </w:r>
      <w:r w:rsidR="004706A9">
        <w:rPr>
          <w:noProof/>
        </w:rPr>
        <w:fldChar w:fldCharType="end"/>
      </w:r>
    </w:p>
    <w:p w14:paraId="21341466" w14:textId="18037075" w:rsidR="004706A9" w:rsidRDefault="004706A9">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_Toc491267884 \h </w:instrText>
      </w:r>
      <w:r>
        <w:fldChar w:fldCharType="separate"/>
      </w:r>
      <w:r>
        <w:t>3</w:t>
      </w:r>
      <w:r>
        <w:fldChar w:fldCharType="end"/>
      </w:r>
    </w:p>
    <w:p w14:paraId="65FF6146" w14:textId="0B5FE63A" w:rsidR="004706A9" w:rsidRDefault="004706A9">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_Toc491267885 \h </w:instrText>
      </w:r>
      <w:r>
        <w:fldChar w:fldCharType="separate"/>
      </w:r>
      <w:r>
        <w:t>3</w:t>
      </w:r>
      <w:r>
        <w:fldChar w:fldCharType="end"/>
      </w:r>
    </w:p>
    <w:p w14:paraId="11439A91" w14:textId="5E047712" w:rsidR="004706A9" w:rsidRDefault="004706A9">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_Toc491267886 \h </w:instrText>
      </w:r>
      <w:r>
        <w:fldChar w:fldCharType="separate"/>
      </w:r>
      <w:r>
        <w:t>3</w:t>
      </w:r>
      <w:r>
        <w:fldChar w:fldCharType="end"/>
      </w:r>
    </w:p>
    <w:p w14:paraId="698D61DF" w14:textId="67202972" w:rsidR="004706A9" w:rsidRDefault="004706A9">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_Toc491267887 \h </w:instrText>
      </w:r>
      <w:r>
        <w:fldChar w:fldCharType="separate"/>
      </w:r>
      <w:r>
        <w:t>5</w:t>
      </w:r>
      <w:r>
        <w:fldChar w:fldCharType="end"/>
      </w:r>
    </w:p>
    <w:p w14:paraId="6FF0A6DD" w14:textId="2946F0CA" w:rsidR="004706A9" w:rsidRDefault="004706A9">
      <w:pPr>
        <w:pStyle w:val="TOC2"/>
        <w:rPr>
          <w:rFonts w:asciiTheme="minorHAnsi" w:eastAsiaTheme="minorEastAsia" w:hAnsiTheme="minorHAnsi" w:cstheme="minorBidi"/>
          <w:b w:val="0"/>
          <w:sz w:val="22"/>
          <w:szCs w:val="22"/>
        </w:rPr>
      </w:pPr>
      <w:r>
        <w:t xml:space="preserve">3 </w:t>
      </w:r>
      <w:r>
        <w:rPr>
          <w:rFonts w:asciiTheme="minorHAnsi" w:eastAsiaTheme="minorEastAsia" w:hAnsiTheme="minorHAnsi" w:cstheme="minorBidi"/>
          <w:b w:val="0"/>
          <w:sz w:val="22"/>
          <w:szCs w:val="22"/>
        </w:rPr>
        <w:tab/>
      </w:r>
      <w:r>
        <w:t>Algemene achtergrond</w:t>
      </w:r>
      <w:r>
        <w:tab/>
      </w:r>
      <w:r>
        <w:fldChar w:fldCharType="begin"/>
      </w:r>
      <w:r>
        <w:instrText xml:space="preserve"> PAGEREF _Toc491267888 \h </w:instrText>
      </w:r>
      <w:r>
        <w:fldChar w:fldCharType="separate"/>
      </w:r>
      <w:r>
        <w:t>6</w:t>
      </w:r>
      <w:r>
        <w:fldChar w:fldCharType="end"/>
      </w:r>
    </w:p>
    <w:p w14:paraId="7E3E59FA" w14:textId="11238FDF" w:rsidR="004706A9" w:rsidRDefault="004706A9">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_Toc491267889 \h </w:instrText>
      </w:r>
      <w:r>
        <w:fldChar w:fldCharType="separate"/>
      </w:r>
      <w:r>
        <w:t>6</w:t>
      </w:r>
      <w:r>
        <w:fldChar w:fldCharType="end"/>
      </w:r>
    </w:p>
    <w:p w14:paraId="390EC907" w14:textId="5C026F3A" w:rsidR="004706A9" w:rsidRDefault="004706A9">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_Toc491267890 \h </w:instrText>
      </w:r>
      <w:r>
        <w:fldChar w:fldCharType="separate"/>
      </w:r>
      <w:r>
        <w:t>6</w:t>
      </w:r>
      <w:r>
        <w:fldChar w:fldCharType="end"/>
      </w:r>
    </w:p>
    <w:p w14:paraId="0742D91A" w14:textId="675E3FCA" w:rsidR="004706A9" w:rsidRDefault="004706A9">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_Toc491267891 \h </w:instrText>
      </w:r>
      <w:r>
        <w:fldChar w:fldCharType="separate"/>
      </w:r>
      <w:r>
        <w:t>8</w:t>
      </w:r>
      <w:r>
        <w:fldChar w:fldCharType="end"/>
      </w:r>
    </w:p>
    <w:p w14:paraId="2A8F7FD5" w14:textId="49A02DBE" w:rsidR="004706A9" w:rsidRDefault="004706A9">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_Toc491267892 \h </w:instrText>
      </w:r>
      <w:r>
        <w:fldChar w:fldCharType="separate"/>
      </w:r>
      <w:r>
        <w:t>8</w:t>
      </w:r>
      <w:r>
        <w:fldChar w:fldCharType="end"/>
      </w:r>
    </w:p>
    <w:p w14:paraId="5E27C97F" w14:textId="2324D620" w:rsidR="004706A9" w:rsidRDefault="004706A9">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_Toc491267893 \h </w:instrText>
      </w:r>
      <w:r>
        <w:fldChar w:fldCharType="separate"/>
      </w:r>
      <w:r>
        <w:t>10</w:t>
      </w:r>
      <w:r>
        <w:fldChar w:fldCharType="end"/>
      </w:r>
    </w:p>
    <w:p w14:paraId="3769F30A" w14:textId="555519EE" w:rsidR="004706A9" w:rsidRDefault="004706A9">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_Toc491267894 \h </w:instrText>
      </w:r>
      <w:r>
        <w:fldChar w:fldCharType="separate"/>
      </w:r>
      <w:r>
        <w:t>10</w:t>
      </w:r>
      <w:r>
        <w:fldChar w:fldCharType="end"/>
      </w:r>
    </w:p>
    <w:p w14:paraId="769DA1AB" w14:textId="3ADBE6B4" w:rsidR="004706A9" w:rsidRDefault="004706A9">
      <w:pPr>
        <w:pStyle w:val="TOC3"/>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Resultaatgerichtheid en transparantie</w:t>
      </w:r>
      <w:r>
        <w:tab/>
      </w:r>
      <w:r>
        <w:fldChar w:fldCharType="begin"/>
      </w:r>
      <w:r>
        <w:instrText xml:space="preserve"> PAGEREF _Toc491267895 \h </w:instrText>
      </w:r>
      <w:r>
        <w:fldChar w:fldCharType="separate"/>
      </w:r>
      <w:r>
        <w:t>11</w:t>
      </w:r>
      <w:r>
        <w:fldChar w:fldCharType="end"/>
      </w:r>
    </w:p>
    <w:p w14:paraId="18501190" w14:textId="141F0257" w:rsidR="004706A9" w:rsidRDefault="004706A9">
      <w:pPr>
        <w:pStyle w:val="TOC3"/>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_Toc491267896 \h </w:instrText>
      </w:r>
      <w:r>
        <w:fldChar w:fldCharType="separate"/>
      </w:r>
      <w:r>
        <w:t>12</w:t>
      </w:r>
      <w:r>
        <w:fldChar w:fldCharType="end"/>
      </w:r>
    </w:p>
    <w:p w14:paraId="52BE7F47" w14:textId="6B070405" w:rsidR="004706A9" w:rsidRDefault="004706A9">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_Toc491267897 \h </w:instrText>
      </w:r>
      <w:r>
        <w:fldChar w:fldCharType="separate"/>
      </w:r>
      <w:r>
        <w:t>13</w:t>
      </w:r>
      <w:r>
        <w:fldChar w:fldCharType="end"/>
      </w:r>
    </w:p>
    <w:p w14:paraId="7125A8F2" w14:textId="55FDCBCB" w:rsidR="004706A9" w:rsidRDefault="004706A9">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_Toc491267898 \h </w:instrText>
      </w:r>
      <w:r>
        <w:fldChar w:fldCharType="separate"/>
      </w:r>
      <w:r>
        <w:t>14</w:t>
      </w:r>
      <w:r>
        <w:fldChar w:fldCharType="end"/>
      </w:r>
    </w:p>
    <w:p w14:paraId="4CCF4A2B" w14:textId="35B1FE3E" w:rsidR="004706A9" w:rsidRDefault="004706A9">
      <w:pPr>
        <w:pStyle w:val="TOC3"/>
        <w:rPr>
          <w:rFonts w:asciiTheme="minorHAnsi" w:eastAsiaTheme="minorEastAsia" w:hAnsiTheme="minorHAnsi" w:cstheme="minorBidi"/>
          <w:sz w:val="22"/>
          <w:szCs w:val="22"/>
        </w:rPr>
      </w:pPr>
      <w:r w:rsidRPr="004706A9">
        <w:t>4.6</w:t>
      </w:r>
      <w:r>
        <w:rPr>
          <w:rFonts w:asciiTheme="minorHAnsi" w:eastAsiaTheme="minorEastAsia" w:hAnsiTheme="minorHAnsi" w:cstheme="minorBidi"/>
          <w:sz w:val="22"/>
          <w:szCs w:val="22"/>
        </w:rPr>
        <w:tab/>
      </w:r>
      <w:r w:rsidRPr="004706A9">
        <w:t>Human Resource Management</w:t>
      </w:r>
      <w:r>
        <w:tab/>
      </w:r>
      <w:r>
        <w:fldChar w:fldCharType="begin"/>
      </w:r>
      <w:r>
        <w:instrText xml:space="preserve"> PAGEREF _Toc491267899 \h </w:instrText>
      </w:r>
      <w:r>
        <w:fldChar w:fldCharType="separate"/>
      </w:r>
      <w:r>
        <w:t>15</w:t>
      </w:r>
      <w:r>
        <w:fldChar w:fldCharType="end"/>
      </w:r>
    </w:p>
    <w:p w14:paraId="475D3002" w14:textId="77FC1BCF" w:rsidR="004706A9" w:rsidRDefault="004706A9">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_Toc491267900 \h </w:instrText>
      </w:r>
      <w:r>
        <w:fldChar w:fldCharType="separate"/>
      </w:r>
      <w:r>
        <w:t>16</w:t>
      </w:r>
      <w:r>
        <w:fldChar w:fldCharType="end"/>
      </w:r>
    </w:p>
    <w:p w14:paraId="5D079524" w14:textId="2090D62F" w:rsidR="004706A9" w:rsidRDefault="004706A9">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_Toc491267901 \h </w:instrText>
      </w:r>
      <w:r>
        <w:fldChar w:fldCharType="separate"/>
      </w:r>
      <w:r>
        <w:t>16</w:t>
      </w:r>
      <w:r>
        <w:fldChar w:fldCharType="end"/>
      </w:r>
    </w:p>
    <w:p w14:paraId="06F16CCF" w14:textId="788D674F" w:rsidR="004706A9" w:rsidRDefault="004706A9">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_Toc491267902 \h </w:instrText>
      </w:r>
      <w:r>
        <w:fldChar w:fldCharType="separate"/>
      </w:r>
      <w:r>
        <w:t>17</w:t>
      </w:r>
      <w:r>
        <w:fldChar w:fldCharType="end"/>
      </w:r>
    </w:p>
    <w:p w14:paraId="76E7F5CC" w14:textId="249A5166" w:rsidR="004706A9" w:rsidRDefault="004706A9">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_Toc491267903 \h </w:instrText>
      </w:r>
      <w:r>
        <w:fldChar w:fldCharType="separate"/>
      </w:r>
      <w:r>
        <w:t>18</w:t>
      </w:r>
      <w:r>
        <w:fldChar w:fldCharType="end"/>
      </w:r>
    </w:p>
    <w:p w14:paraId="3BCD8095" w14:textId="0F7AFCC5" w:rsidR="004706A9" w:rsidRDefault="004706A9">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_Toc491267904 \h </w:instrText>
      </w:r>
      <w:r>
        <w:fldChar w:fldCharType="separate"/>
      </w:r>
      <w:r>
        <w:t>18</w:t>
      </w:r>
      <w:r>
        <w:fldChar w:fldCharType="end"/>
      </w:r>
    </w:p>
    <w:p w14:paraId="55CA9624" w14:textId="19010102" w:rsidR="004706A9" w:rsidRDefault="004706A9">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_Toc491267905 \h </w:instrText>
      </w:r>
      <w:r>
        <w:fldChar w:fldCharType="separate"/>
      </w:r>
      <w:r>
        <w:t>18</w:t>
      </w:r>
      <w:r>
        <w:fldChar w:fldCharType="end"/>
      </w:r>
    </w:p>
    <w:p w14:paraId="121E29D4" w14:textId="3DCECB49" w:rsidR="00261F77" w:rsidRPr="00290657" w:rsidRDefault="006B2292" w:rsidP="0014161D">
      <w:pPr>
        <w:pStyle w:val="TOC3"/>
        <w:rPr>
          <w:rFonts w:ascii="Calibri" w:hAnsi="Calibri"/>
          <w:sz w:val="22"/>
          <w:szCs w:val="22"/>
        </w:rPr>
      </w:pPr>
      <w:r w:rsidRPr="00785F18">
        <w:fldChar w:fldCharType="end"/>
      </w:r>
    </w:p>
    <w:p w14:paraId="2A37570D" w14:textId="77777777" w:rsidR="00101F98" w:rsidRPr="00785F18" w:rsidRDefault="00101F98" w:rsidP="00163FA2">
      <w:pPr>
        <w:tabs>
          <w:tab w:val="left" w:pos="0"/>
        </w:tabs>
      </w:pPr>
    </w:p>
    <w:p w14:paraId="28134792" w14:textId="77777777" w:rsidR="00A908F9" w:rsidRDefault="00A908F9" w:rsidP="00101F98"/>
    <w:p w14:paraId="06AD6836" w14:textId="77777777" w:rsidR="00A908F9" w:rsidRPr="00A908F9" w:rsidRDefault="00A908F9" w:rsidP="00A908F9"/>
    <w:p w14:paraId="45838DA0" w14:textId="77777777" w:rsidR="00A908F9" w:rsidRPr="00A908F9" w:rsidRDefault="00A908F9" w:rsidP="00A908F9"/>
    <w:p w14:paraId="62DCFAD4" w14:textId="77777777" w:rsidR="00A908F9" w:rsidRDefault="00A908F9" w:rsidP="00A908F9">
      <w:pPr>
        <w:jc w:val="center"/>
      </w:pPr>
    </w:p>
    <w:p w14:paraId="528F90B3" w14:textId="3E074AEA" w:rsidR="007B7BB5" w:rsidRDefault="007B7BB5" w:rsidP="00A908F9"/>
    <w:p w14:paraId="1D84557E" w14:textId="77777777" w:rsidR="007B7BB5" w:rsidRPr="007B7BB5" w:rsidRDefault="007B7BB5" w:rsidP="007B7BB5"/>
    <w:p w14:paraId="7490F62A" w14:textId="77777777" w:rsidR="007B7BB5" w:rsidRPr="007B7BB5" w:rsidRDefault="007B7BB5" w:rsidP="007B7BB5"/>
    <w:p w14:paraId="60C6873D" w14:textId="77777777" w:rsidR="007B7BB5" w:rsidRPr="007B7BB5" w:rsidRDefault="007B7BB5" w:rsidP="007B7BB5"/>
    <w:p w14:paraId="7CDE8FF2" w14:textId="77777777" w:rsidR="007B7BB5" w:rsidRPr="007B7BB5" w:rsidRDefault="007B7BB5" w:rsidP="007B7BB5"/>
    <w:p w14:paraId="53F0B338" w14:textId="77777777" w:rsidR="007B7BB5" w:rsidRPr="007B7BB5" w:rsidRDefault="007B7BB5" w:rsidP="007B7BB5"/>
    <w:p w14:paraId="425F567F" w14:textId="77777777" w:rsidR="007B7BB5" w:rsidRPr="007B7BB5" w:rsidRDefault="007B7BB5" w:rsidP="007B7BB5"/>
    <w:p w14:paraId="57C82B0C" w14:textId="77777777" w:rsidR="007B7BB5" w:rsidRPr="007B7BB5" w:rsidRDefault="007B7BB5" w:rsidP="007B7BB5"/>
    <w:p w14:paraId="6618BA02" w14:textId="77777777" w:rsidR="007B7BB5" w:rsidRPr="007B7BB5" w:rsidRDefault="007B7BB5" w:rsidP="007B7BB5"/>
    <w:p w14:paraId="13776248" w14:textId="77777777" w:rsidR="007B7BB5" w:rsidRPr="007B7BB5" w:rsidRDefault="007B7BB5" w:rsidP="007B7BB5"/>
    <w:p w14:paraId="7ADE21AC" w14:textId="77777777" w:rsidR="007B7BB5" w:rsidRPr="007B7BB5" w:rsidRDefault="007B7BB5" w:rsidP="007B7BB5"/>
    <w:p w14:paraId="50577DD2" w14:textId="77777777" w:rsidR="007B7BB5" w:rsidRPr="007B7BB5" w:rsidRDefault="007B7BB5" w:rsidP="007B7BB5"/>
    <w:p w14:paraId="7E2948F5" w14:textId="77777777" w:rsidR="007B7BB5" w:rsidRPr="007B7BB5" w:rsidRDefault="007B7BB5" w:rsidP="007B7BB5"/>
    <w:p w14:paraId="1D7B2A74" w14:textId="77777777" w:rsidR="007B7BB5" w:rsidRPr="007B7BB5" w:rsidRDefault="007B7BB5" w:rsidP="007B7BB5"/>
    <w:p w14:paraId="5A33088A" w14:textId="77777777" w:rsidR="007B7BB5" w:rsidRPr="007B7BB5" w:rsidRDefault="007B7BB5" w:rsidP="007B7BB5"/>
    <w:p w14:paraId="66805F58" w14:textId="77777777" w:rsidR="007B7BB5" w:rsidRPr="007B7BB5" w:rsidRDefault="007B7BB5" w:rsidP="007B7BB5">
      <w:pPr>
        <w:jc w:val="right"/>
      </w:pPr>
    </w:p>
    <w:p w14:paraId="3334A1E8" w14:textId="55D897A5" w:rsidR="00101F98" w:rsidRPr="007B7BB5" w:rsidRDefault="00101F98" w:rsidP="007B7BB5">
      <w:pPr>
        <w:sectPr w:rsidR="00101F98" w:rsidRPr="007B7BB5" w:rsidSect="00EE1B9E">
          <w:headerReference w:type="default" r:id="rId11"/>
          <w:footerReference w:type="default" r:id="rId12"/>
          <w:headerReference w:type="first" r:id="rId13"/>
          <w:type w:val="continuous"/>
          <w:pgSz w:w="11906" w:h="16838" w:code="9"/>
          <w:pgMar w:top="2520" w:right="960" w:bottom="1080" w:left="3220" w:header="200" w:footer="660" w:gutter="0"/>
          <w:cols w:space="708"/>
          <w:titlePg/>
          <w:docGrid w:linePitch="360"/>
        </w:sectPr>
      </w:pPr>
    </w:p>
    <w:p w14:paraId="491460CE" w14:textId="607BE067" w:rsidR="00D07878" w:rsidRDefault="00D07878" w:rsidP="00D07878">
      <w:pPr>
        <w:pStyle w:val="Heading1"/>
        <w:tabs>
          <w:tab w:val="num" w:pos="0"/>
        </w:tabs>
        <w:spacing w:after="240" w:line="240" w:lineRule="auto"/>
        <w:ind w:hanging="1162"/>
      </w:pPr>
      <w:bookmarkStart w:id="10" w:name="_Toc238533654"/>
      <w:bookmarkStart w:id="11" w:name="_Toc238537583"/>
      <w:bookmarkStart w:id="12" w:name="_Toc238538136"/>
      <w:bookmarkStart w:id="13" w:name="_Toc238538151"/>
      <w:bookmarkStart w:id="14" w:name="_Toc410397639"/>
      <w:bookmarkStart w:id="15" w:name="_Toc491267884"/>
      <w:bookmarkStart w:id="16" w:name="_Toc300822504"/>
      <w:bookmarkEnd w:id="10"/>
      <w:bookmarkEnd w:id="11"/>
      <w:bookmarkEnd w:id="12"/>
      <w:bookmarkEnd w:id="13"/>
      <w:r>
        <w:lastRenderedPageBreak/>
        <w:t>1</w:t>
      </w:r>
      <w:r>
        <w:tab/>
        <w:t>Samenvatting</w:t>
      </w:r>
      <w:bookmarkEnd w:id="14"/>
      <w:bookmarkEnd w:id="15"/>
    </w:p>
    <w:p w14:paraId="2DD2AAF5" w14:textId="3CE1E0F2" w:rsidR="00D07878" w:rsidRDefault="00D07878" w:rsidP="00D07878">
      <w:pPr>
        <w:pStyle w:val="Heading2"/>
        <w:tabs>
          <w:tab w:val="left" w:pos="-1162"/>
          <w:tab w:val="left" w:pos="0"/>
          <w:tab w:val="num" w:pos="1160"/>
        </w:tabs>
        <w:spacing w:line="240" w:lineRule="auto"/>
        <w:ind w:hanging="1162"/>
      </w:pPr>
      <w:bookmarkStart w:id="17" w:name="_Toc410397640"/>
      <w:bookmarkStart w:id="18" w:name="_Toc491267885"/>
      <w:r>
        <w:t xml:space="preserve">1.1 </w:t>
      </w:r>
      <w:r>
        <w:tab/>
        <w:t>Institutionele aspecten en functioneren</w:t>
      </w:r>
      <w:bookmarkEnd w:id="17"/>
      <w:bookmarkEnd w:id="18"/>
    </w:p>
    <w:p w14:paraId="3A1DD4F9" w14:textId="4D569615" w:rsidR="00D07878" w:rsidRDefault="006F5E04" w:rsidP="00D07878">
      <w:r w:rsidRPr="00E04C0D">
        <w:rPr>
          <w:szCs w:val="18"/>
        </w:rPr>
        <w:t xml:space="preserve">De </w:t>
      </w:r>
      <w:r w:rsidRPr="00E04C0D">
        <w:rPr>
          <w:i/>
          <w:szCs w:val="18"/>
        </w:rPr>
        <w:t xml:space="preserve">United Nations Conference on Trade and Development </w:t>
      </w:r>
      <w:r w:rsidRPr="00E04C0D">
        <w:rPr>
          <w:szCs w:val="18"/>
        </w:rPr>
        <w:t>(UNCTAD)</w:t>
      </w:r>
      <w:r w:rsidRPr="00E04C0D">
        <w:t xml:space="preserve"> heeft als doel ontwikkelingslanden te ondersteunen in de integratie met de wereldeconomie</w:t>
      </w:r>
      <w:r>
        <w:t>.</w:t>
      </w:r>
      <w:r w:rsidRPr="00E04C0D">
        <w:t xml:space="preserve"> </w:t>
      </w:r>
      <w:r>
        <w:t>UNCTAD is zichzelf aan hervinden en heeft goed weten in te spelen op een aantal recente ontwikkelingen, waaronder e-commerce.</w:t>
      </w:r>
      <w:r w:rsidRPr="00BA399F">
        <w:t xml:space="preserve"> </w:t>
      </w:r>
      <w:r w:rsidRPr="00C222C1">
        <w:t xml:space="preserve">De organisatie is zeer actief in het formaliseren </w:t>
      </w:r>
      <w:r>
        <w:t xml:space="preserve">van </w:t>
      </w:r>
      <w:r w:rsidRPr="00C222C1">
        <w:t xml:space="preserve">samenwerkingsrelaties met partners </w:t>
      </w:r>
      <w:r>
        <w:t>binnen en</w:t>
      </w:r>
      <w:r w:rsidRPr="00C222C1">
        <w:t xml:space="preserve"> buiten het VN-systeem.</w:t>
      </w:r>
      <w:r>
        <w:t xml:space="preserve"> </w:t>
      </w:r>
      <w:r w:rsidRPr="00E04C0D">
        <w:t xml:space="preserve">De grote waarde die de G77 hecht aan </w:t>
      </w:r>
      <w:r>
        <w:t>UNCTAD,</w:t>
      </w:r>
      <w:r w:rsidRPr="00E04C0D">
        <w:t xml:space="preserve"> draagt bij aan de invloed van de organisatie op het mondiale ontwikkelingsbeleid.</w:t>
      </w:r>
      <w:r>
        <w:t xml:space="preserve"> Er is veel vraag onder ontwikkelingslanden naar UNCTAD’s technische assistentieprogramma’s, waarvoor de financiering in een steeds grotere mate uit de desbetreffende landen zelf komt. Toch zijn deze bijdragen vaak nog onvoldoende toereikend om aan de vraag te voldoen. </w:t>
      </w:r>
      <w:r w:rsidR="00AD1C76">
        <w:t xml:space="preserve">Ondanks de positieve ontwikkelingen blijven er grote uitdagingen bestaan voor de organisatie die goed functioneren in de weg staan. </w:t>
      </w:r>
      <w:r>
        <w:t>Intergouvernementele discussies binnen UNCTAD zijn vaak gepolitiseerd, wat resulteert in een minder eenduidige politieke sturing richting het secretariaat. De externe verantwoording wordt tevens bemoeilijkt door een weinig transparante houding van het secretariaat richting lidstaten en een beperkt aantal intern en extern uitgevoerde evaluaties. De divisies van de organisatie boeken wisselend resultaat: waar de een breed gewaardeerd wordt voor haar degelijke analyses en statistiek, is de ander in haar onderzoek te politiek gekleurd. De medewerkers zijn UNCTAD’s kostbaarste bezit, maar het vergroten van de interne mobiliteit blijft een punt van zorg.</w:t>
      </w:r>
    </w:p>
    <w:p w14:paraId="3684D81A" w14:textId="77777777" w:rsidR="006F5E04" w:rsidRDefault="006F5E04" w:rsidP="00D07878"/>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9"/>
        <w:gridCol w:w="841"/>
        <w:gridCol w:w="1318"/>
      </w:tblGrid>
      <w:tr w:rsidR="00D07878" w14:paraId="5C477D26" w14:textId="77777777" w:rsidTr="00127D70">
        <w:tc>
          <w:tcPr>
            <w:tcW w:w="5349" w:type="dxa"/>
            <w:tcBorders>
              <w:top w:val="single" w:sz="12" w:space="0" w:color="auto"/>
              <w:left w:val="single" w:sz="12" w:space="0" w:color="auto"/>
              <w:bottom w:val="single" w:sz="12" w:space="0" w:color="auto"/>
            </w:tcBorders>
            <w:shd w:val="clear" w:color="auto" w:fill="BFBFBF" w:themeFill="background1" w:themeFillShade="BF"/>
          </w:tcPr>
          <w:p w14:paraId="3F18A6D4" w14:textId="7C0A3ED3" w:rsidR="00D07878" w:rsidRDefault="00D07878" w:rsidP="00D07878">
            <w:r w:rsidRPr="008F1B70">
              <w:rPr>
                <w:b/>
              </w:rPr>
              <w:t xml:space="preserve">Institutionele aspecten </w:t>
            </w:r>
            <w:r>
              <w:rPr>
                <w:b/>
              </w:rPr>
              <w:t xml:space="preserve">en functioneren </w:t>
            </w:r>
          </w:p>
        </w:tc>
        <w:tc>
          <w:tcPr>
            <w:tcW w:w="841" w:type="dxa"/>
            <w:tcBorders>
              <w:top w:val="single" w:sz="12" w:space="0" w:color="auto"/>
              <w:bottom w:val="single" w:sz="12" w:space="0" w:color="auto"/>
            </w:tcBorders>
            <w:shd w:val="clear" w:color="auto" w:fill="BFBFBF" w:themeFill="background1" w:themeFillShade="BF"/>
          </w:tcPr>
          <w:p w14:paraId="2FC4E7D6" w14:textId="77777777" w:rsidR="00D07878" w:rsidRDefault="00D07878" w:rsidP="00D07878">
            <w:r>
              <w:t>Score</w:t>
            </w:r>
          </w:p>
        </w:tc>
        <w:tc>
          <w:tcPr>
            <w:tcW w:w="1318" w:type="dxa"/>
            <w:tcBorders>
              <w:top w:val="single" w:sz="12" w:space="0" w:color="auto"/>
              <w:bottom w:val="single" w:sz="12" w:space="0" w:color="auto"/>
              <w:right w:val="single" w:sz="12" w:space="0" w:color="auto"/>
            </w:tcBorders>
            <w:shd w:val="clear" w:color="auto" w:fill="BFBFBF" w:themeFill="background1" w:themeFillShade="BF"/>
          </w:tcPr>
          <w:p w14:paraId="2FFEC7E6" w14:textId="77777777" w:rsidR="00D07878" w:rsidRDefault="00D07878" w:rsidP="00D07878">
            <w:r>
              <w:t>Verandering</w:t>
            </w:r>
          </w:p>
        </w:tc>
      </w:tr>
      <w:tr w:rsidR="00D07878" w14:paraId="200A7FC2" w14:textId="77777777" w:rsidTr="00D07878">
        <w:tc>
          <w:tcPr>
            <w:tcW w:w="5349" w:type="dxa"/>
            <w:tcBorders>
              <w:top w:val="single" w:sz="12" w:space="0" w:color="auto"/>
              <w:left w:val="single" w:sz="12" w:space="0" w:color="auto"/>
            </w:tcBorders>
            <w:shd w:val="clear" w:color="auto" w:fill="auto"/>
          </w:tcPr>
          <w:p w14:paraId="31D8CF49" w14:textId="77777777" w:rsidR="00D07878" w:rsidRPr="00C26035" w:rsidRDefault="00D07878" w:rsidP="00D07878">
            <w:r>
              <w:t>Strategie en verantwoording</w:t>
            </w:r>
            <w:r w:rsidRPr="00C26035">
              <w:t xml:space="preserve"> </w:t>
            </w:r>
          </w:p>
        </w:tc>
        <w:tc>
          <w:tcPr>
            <w:tcW w:w="841" w:type="dxa"/>
            <w:tcBorders>
              <w:top w:val="single" w:sz="12" w:space="0" w:color="auto"/>
            </w:tcBorders>
            <w:shd w:val="clear" w:color="auto" w:fill="auto"/>
            <w:vAlign w:val="center"/>
          </w:tcPr>
          <w:p w14:paraId="6594EE85" w14:textId="30ACE037" w:rsidR="00D07878" w:rsidRDefault="00E60F41" w:rsidP="00D07878">
            <w:pPr>
              <w:jc w:val="center"/>
            </w:pPr>
            <w:r>
              <w:t>2</w:t>
            </w:r>
          </w:p>
        </w:tc>
        <w:tc>
          <w:tcPr>
            <w:tcW w:w="1318" w:type="dxa"/>
            <w:tcBorders>
              <w:top w:val="single" w:sz="12" w:space="0" w:color="auto"/>
              <w:right w:val="single" w:sz="12" w:space="0" w:color="auto"/>
            </w:tcBorders>
            <w:shd w:val="clear" w:color="auto" w:fill="auto"/>
            <w:vAlign w:val="center"/>
          </w:tcPr>
          <w:p w14:paraId="1D8F5DB4" w14:textId="75AB7BF5" w:rsidR="00D07878" w:rsidRDefault="00E60F41" w:rsidP="00D07878">
            <w:pPr>
              <w:jc w:val="center"/>
            </w:pPr>
            <w:r w:rsidRPr="00193994">
              <w:sym w:font="Wingdings" w:char="F0E8"/>
            </w:r>
          </w:p>
        </w:tc>
      </w:tr>
      <w:tr w:rsidR="00D07878" w14:paraId="05389B2F" w14:textId="77777777" w:rsidTr="00D07878">
        <w:tc>
          <w:tcPr>
            <w:tcW w:w="5349" w:type="dxa"/>
            <w:tcBorders>
              <w:left w:val="single" w:sz="12" w:space="0" w:color="auto"/>
            </w:tcBorders>
            <w:shd w:val="clear" w:color="auto" w:fill="auto"/>
          </w:tcPr>
          <w:p w14:paraId="5A0097BF" w14:textId="77777777" w:rsidR="00D07878" w:rsidRDefault="00D07878" w:rsidP="00D07878">
            <w:r>
              <w:t>Resultaatgerichtheid en transparantie</w:t>
            </w:r>
          </w:p>
        </w:tc>
        <w:tc>
          <w:tcPr>
            <w:tcW w:w="841" w:type="dxa"/>
            <w:shd w:val="clear" w:color="auto" w:fill="auto"/>
            <w:vAlign w:val="center"/>
          </w:tcPr>
          <w:p w14:paraId="63CA53B3" w14:textId="16C328E6" w:rsidR="00D07878" w:rsidRDefault="00E52D2E" w:rsidP="00D07878">
            <w:pPr>
              <w:jc w:val="center"/>
            </w:pPr>
            <w:r>
              <w:t>2</w:t>
            </w:r>
          </w:p>
        </w:tc>
        <w:tc>
          <w:tcPr>
            <w:tcW w:w="1318" w:type="dxa"/>
            <w:tcBorders>
              <w:right w:val="single" w:sz="12" w:space="0" w:color="auto"/>
            </w:tcBorders>
            <w:shd w:val="clear" w:color="auto" w:fill="auto"/>
            <w:vAlign w:val="center"/>
          </w:tcPr>
          <w:p w14:paraId="63F9E7A5" w14:textId="72A0E0E4" w:rsidR="00D07878" w:rsidRDefault="00E52D2E" w:rsidP="00D07878">
            <w:pPr>
              <w:jc w:val="center"/>
            </w:pPr>
            <w:r w:rsidRPr="00193994">
              <w:sym w:font="Wingdings" w:char="F0E9"/>
            </w:r>
          </w:p>
        </w:tc>
      </w:tr>
      <w:tr w:rsidR="00D07878" w14:paraId="531941B3" w14:textId="77777777" w:rsidTr="00D07878">
        <w:tc>
          <w:tcPr>
            <w:tcW w:w="5349" w:type="dxa"/>
            <w:tcBorders>
              <w:left w:val="single" w:sz="12" w:space="0" w:color="auto"/>
            </w:tcBorders>
            <w:shd w:val="clear" w:color="auto" w:fill="auto"/>
          </w:tcPr>
          <w:p w14:paraId="66408477" w14:textId="77777777" w:rsidR="00D07878" w:rsidRDefault="00D07878" w:rsidP="00D07878">
            <w:r>
              <w:t>Partnerschappen</w:t>
            </w:r>
          </w:p>
        </w:tc>
        <w:tc>
          <w:tcPr>
            <w:tcW w:w="841" w:type="dxa"/>
            <w:shd w:val="clear" w:color="auto" w:fill="auto"/>
            <w:vAlign w:val="center"/>
          </w:tcPr>
          <w:p w14:paraId="5426B25B" w14:textId="1C136C39" w:rsidR="00D07878" w:rsidRDefault="00022F9E" w:rsidP="00D07878">
            <w:pPr>
              <w:jc w:val="center"/>
            </w:pPr>
            <w:r>
              <w:t>4</w:t>
            </w:r>
          </w:p>
        </w:tc>
        <w:tc>
          <w:tcPr>
            <w:tcW w:w="1318" w:type="dxa"/>
            <w:tcBorders>
              <w:right w:val="single" w:sz="12" w:space="0" w:color="auto"/>
            </w:tcBorders>
            <w:shd w:val="clear" w:color="auto" w:fill="auto"/>
            <w:vAlign w:val="center"/>
          </w:tcPr>
          <w:p w14:paraId="6B9520D3" w14:textId="595AC306" w:rsidR="00D07878" w:rsidRDefault="00022F9E" w:rsidP="00D07878">
            <w:pPr>
              <w:jc w:val="center"/>
            </w:pPr>
            <w:r w:rsidRPr="00193994">
              <w:sym w:font="Wingdings" w:char="F0E9"/>
            </w:r>
          </w:p>
        </w:tc>
      </w:tr>
      <w:tr w:rsidR="00D07878" w14:paraId="6F8CBF90" w14:textId="77777777" w:rsidTr="00D07878">
        <w:tc>
          <w:tcPr>
            <w:tcW w:w="5349" w:type="dxa"/>
            <w:tcBorders>
              <w:left w:val="single" w:sz="12" w:space="0" w:color="auto"/>
            </w:tcBorders>
            <w:shd w:val="clear" w:color="auto" w:fill="auto"/>
          </w:tcPr>
          <w:p w14:paraId="42EA2D8A" w14:textId="77777777" w:rsidR="00D07878" w:rsidRPr="00C26035" w:rsidRDefault="00D07878" w:rsidP="00D07878">
            <w:r>
              <w:t>Operationeel management</w:t>
            </w:r>
          </w:p>
        </w:tc>
        <w:tc>
          <w:tcPr>
            <w:tcW w:w="841" w:type="dxa"/>
            <w:shd w:val="clear" w:color="auto" w:fill="auto"/>
            <w:vAlign w:val="center"/>
          </w:tcPr>
          <w:p w14:paraId="2CE1DF7A" w14:textId="0CDEFCBE" w:rsidR="00D07878" w:rsidRDefault="00E52D2E" w:rsidP="00D07878">
            <w:pPr>
              <w:jc w:val="center"/>
            </w:pPr>
            <w:r>
              <w:t>3</w:t>
            </w:r>
          </w:p>
        </w:tc>
        <w:tc>
          <w:tcPr>
            <w:tcW w:w="1318" w:type="dxa"/>
            <w:tcBorders>
              <w:right w:val="single" w:sz="12" w:space="0" w:color="auto"/>
            </w:tcBorders>
            <w:shd w:val="clear" w:color="auto" w:fill="auto"/>
            <w:vAlign w:val="center"/>
          </w:tcPr>
          <w:p w14:paraId="704704B6" w14:textId="4B7CC123" w:rsidR="00D07878" w:rsidRDefault="00E52D2E" w:rsidP="00D07878">
            <w:pPr>
              <w:jc w:val="center"/>
            </w:pPr>
            <w:r w:rsidRPr="00193994">
              <w:sym w:font="Wingdings" w:char="F0E9"/>
            </w:r>
          </w:p>
        </w:tc>
      </w:tr>
      <w:tr w:rsidR="00D07878" w14:paraId="47181DF1" w14:textId="77777777" w:rsidTr="00D07878">
        <w:tc>
          <w:tcPr>
            <w:tcW w:w="5349" w:type="dxa"/>
            <w:tcBorders>
              <w:left w:val="single" w:sz="12" w:space="0" w:color="auto"/>
            </w:tcBorders>
            <w:shd w:val="clear" w:color="auto" w:fill="auto"/>
          </w:tcPr>
          <w:p w14:paraId="1553358D" w14:textId="77777777" w:rsidR="00D07878" w:rsidRPr="00C26035" w:rsidRDefault="00D07878" w:rsidP="00D07878">
            <w:r>
              <w:t>Beleidsevaluatie</w:t>
            </w:r>
          </w:p>
        </w:tc>
        <w:tc>
          <w:tcPr>
            <w:tcW w:w="841" w:type="dxa"/>
            <w:shd w:val="clear" w:color="auto" w:fill="auto"/>
            <w:vAlign w:val="center"/>
          </w:tcPr>
          <w:p w14:paraId="343A2728" w14:textId="1765112F" w:rsidR="00D07878" w:rsidRDefault="00E52D2E" w:rsidP="00D07878">
            <w:pPr>
              <w:jc w:val="center"/>
            </w:pPr>
            <w:r>
              <w:t>3</w:t>
            </w:r>
          </w:p>
        </w:tc>
        <w:tc>
          <w:tcPr>
            <w:tcW w:w="1318" w:type="dxa"/>
            <w:tcBorders>
              <w:right w:val="single" w:sz="12" w:space="0" w:color="auto"/>
            </w:tcBorders>
            <w:shd w:val="clear" w:color="auto" w:fill="auto"/>
            <w:vAlign w:val="center"/>
          </w:tcPr>
          <w:p w14:paraId="35FD0791" w14:textId="47A0119E" w:rsidR="00D07878" w:rsidRDefault="00E52D2E" w:rsidP="00D07878">
            <w:pPr>
              <w:jc w:val="center"/>
            </w:pPr>
            <w:r w:rsidRPr="00193994">
              <w:sym w:font="Wingdings" w:char="F0E9"/>
            </w:r>
          </w:p>
        </w:tc>
      </w:tr>
      <w:tr w:rsidR="00D07878" w14:paraId="689CDF89" w14:textId="77777777" w:rsidTr="00D07878">
        <w:tc>
          <w:tcPr>
            <w:tcW w:w="5349" w:type="dxa"/>
            <w:tcBorders>
              <w:left w:val="single" w:sz="12" w:space="0" w:color="auto"/>
            </w:tcBorders>
            <w:shd w:val="clear" w:color="auto" w:fill="auto"/>
          </w:tcPr>
          <w:p w14:paraId="02BF0FD1" w14:textId="77777777" w:rsidR="00D07878" w:rsidRPr="00C26035" w:rsidRDefault="00D07878" w:rsidP="00D07878">
            <w:r w:rsidRPr="00C26035">
              <w:t>Human Resource Management</w:t>
            </w:r>
          </w:p>
        </w:tc>
        <w:tc>
          <w:tcPr>
            <w:tcW w:w="841" w:type="dxa"/>
            <w:shd w:val="clear" w:color="auto" w:fill="auto"/>
            <w:vAlign w:val="center"/>
          </w:tcPr>
          <w:p w14:paraId="76CE64EB" w14:textId="70F62E1E" w:rsidR="00D07878" w:rsidRDefault="00E52D2E" w:rsidP="00D07878">
            <w:pPr>
              <w:jc w:val="center"/>
            </w:pPr>
            <w:r>
              <w:t>3</w:t>
            </w:r>
          </w:p>
        </w:tc>
        <w:tc>
          <w:tcPr>
            <w:tcW w:w="1318" w:type="dxa"/>
            <w:tcBorders>
              <w:right w:val="single" w:sz="12" w:space="0" w:color="auto"/>
            </w:tcBorders>
            <w:shd w:val="clear" w:color="auto" w:fill="auto"/>
            <w:vAlign w:val="center"/>
          </w:tcPr>
          <w:p w14:paraId="670291B6" w14:textId="4E4342B7" w:rsidR="00D07878" w:rsidRDefault="00E52D2E" w:rsidP="00D07878">
            <w:pPr>
              <w:jc w:val="center"/>
            </w:pPr>
            <w:r w:rsidRPr="00193994">
              <w:sym w:font="Wingdings" w:char="F0E9"/>
            </w:r>
          </w:p>
        </w:tc>
      </w:tr>
      <w:tr w:rsidR="00D07878" w14:paraId="03A070B3" w14:textId="77777777" w:rsidTr="00D07878">
        <w:tc>
          <w:tcPr>
            <w:tcW w:w="5349" w:type="dxa"/>
            <w:tcBorders>
              <w:left w:val="single" w:sz="12" w:space="0" w:color="auto"/>
            </w:tcBorders>
            <w:shd w:val="clear" w:color="auto" w:fill="auto"/>
          </w:tcPr>
          <w:p w14:paraId="4443EF1F" w14:textId="77777777" w:rsidR="00D07878" w:rsidRPr="003345D7" w:rsidRDefault="00D07878" w:rsidP="00D07878">
            <w:r w:rsidRPr="003345D7">
              <w:t>Financiële stabiliteit</w:t>
            </w:r>
          </w:p>
        </w:tc>
        <w:tc>
          <w:tcPr>
            <w:tcW w:w="841" w:type="dxa"/>
            <w:shd w:val="clear" w:color="auto" w:fill="auto"/>
            <w:vAlign w:val="center"/>
          </w:tcPr>
          <w:p w14:paraId="7D3956AB" w14:textId="696E8823" w:rsidR="00D07878" w:rsidRPr="003345D7" w:rsidRDefault="008E0DE7" w:rsidP="00D07878">
            <w:pPr>
              <w:jc w:val="center"/>
            </w:pPr>
            <w:r>
              <w:t>3</w:t>
            </w:r>
          </w:p>
        </w:tc>
        <w:tc>
          <w:tcPr>
            <w:tcW w:w="1318" w:type="dxa"/>
            <w:tcBorders>
              <w:right w:val="single" w:sz="12" w:space="0" w:color="auto"/>
            </w:tcBorders>
            <w:shd w:val="clear" w:color="auto" w:fill="auto"/>
            <w:vAlign w:val="center"/>
          </w:tcPr>
          <w:p w14:paraId="1BBED93B" w14:textId="79309698" w:rsidR="00D07878" w:rsidRPr="00E52D2E" w:rsidRDefault="009F54C2" w:rsidP="00D07878">
            <w:pPr>
              <w:jc w:val="center"/>
              <w:rPr>
                <w:highlight w:val="yellow"/>
              </w:rPr>
            </w:pPr>
            <w:r w:rsidRPr="00193994">
              <w:sym w:font="Wingdings" w:char="F0E8"/>
            </w:r>
          </w:p>
        </w:tc>
      </w:tr>
      <w:tr w:rsidR="00D07878" w14:paraId="321C66C1" w14:textId="77777777" w:rsidTr="00D07878">
        <w:tc>
          <w:tcPr>
            <w:tcW w:w="5349" w:type="dxa"/>
            <w:tcBorders>
              <w:left w:val="single" w:sz="12" w:space="0" w:color="auto"/>
            </w:tcBorders>
            <w:shd w:val="clear" w:color="auto" w:fill="auto"/>
          </w:tcPr>
          <w:p w14:paraId="2F028753" w14:textId="741845E6" w:rsidR="00D07878" w:rsidRPr="00445FEE" w:rsidRDefault="0045767D" w:rsidP="0045767D">
            <w:pPr>
              <w:tabs>
                <w:tab w:val="left" w:pos="2000"/>
              </w:tabs>
            </w:pPr>
            <w:r>
              <w:t>Kostenreductie</w:t>
            </w:r>
            <w:r>
              <w:tab/>
            </w:r>
          </w:p>
        </w:tc>
        <w:tc>
          <w:tcPr>
            <w:tcW w:w="841" w:type="dxa"/>
            <w:shd w:val="clear" w:color="auto" w:fill="auto"/>
            <w:vAlign w:val="center"/>
          </w:tcPr>
          <w:p w14:paraId="0F0E5093" w14:textId="25EBEBCC" w:rsidR="00D07878" w:rsidRDefault="00E52D2E" w:rsidP="00D07878">
            <w:pPr>
              <w:jc w:val="center"/>
            </w:pPr>
            <w:r>
              <w:t>3</w:t>
            </w:r>
          </w:p>
        </w:tc>
        <w:tc>
          <w:tcPr>
            <w:tcW w:w="1318" w:type="dxa"/>
            <w:tcBorders>
              <w:right w:val="single" w:sz="12" w:space="0" w:color="auto"/>
            </w:tcBorders>
            <w:shd w:val="clear" w:color="auto" w:fill="auto"/>
            <w:vAlign w:val="center"/>
          </w:tcPr>
          <w:p w14:paraId="3335CD94" w14:textId="1905C2BE" w:rsidR="00D07878" w:rsidRDefault="00E52D2E" w:rsidP="00D07878">
            <w:pPr>
              <w:jc w:val="center"/>
            </w:pPr>
            <w:r w:rsidRPr="00193994">
              <w:sym w:font="Wingdings" w:char="F0E8"/>
            </w:r>
          </w:p>
        </w:tc>
      </w:tr>
      <w:tr w:rsidR="00D07878" w14:paraId="62BAADC7" w14:textId="77777777" w:rsidTr="00D07878">
        <w:tc>
          <w:tcPr>
            <w:tcW w:w="5349" w:type="dxa"/>
            <w:tcBorders>
              <w:left w:val="single" w:sz="12" w:space="0" w:color="auto"/>
              <w:bottom w:val="single" w:sz="12" w:space="0" w:color="auto"/>
            </w:tcBorders>
            <w:shd w:val="clear" w:color="auto" w:fill="auto"/>
          </w:tcPr>
          <w:p w14:paraId="16E8414C" w14:textId="77777777" w:rsidR="00D07878" w:rsidRPr="00445FEE" w:rsidRDefault="00D07878" w:rsidP="00D07878">
            <w:r w:rsidRPr="00445FEE">
              <w:t xml:space="preserve">Corruptiebestrijding </w:t>
            </w:r>
            <w:r>
              <w:t>en accountability</w:t>
            </w:r>
          </w:p>
        </w:tc>
        <w:tc>
          <w:tcPr>
            <w:tcW w:w="841" w:type="dxa"/>
            <w:tcBorders>
              <w:bottom w:val="single" w:sz="12" w:space="0" w:color="auto"/>
            </w:tcBorders>
            <w:shd w:val="clear" w:color="auto" w:fill="auto"/>
            <w:vAlign w:val="center"/>
          </w:tcPr>
          <w:p w14:paraId="671DC0AC" w14:textId="499A0886" w:rsidR="00D07878" w:rsidRDefault="00E52D2E" w:rsidP="00D07878">
            <w:pPr>
              <w:jc w:val="center"/>
            </w:pPr>
            <w:r>
              <w:t>3</w:t>
            </w:r>
          </w:p>
        </w:tc>
        <w:tc>
          <w:tcPr>
            <w:tcW w:w="1318" w:type="dxa"/>
            <w:tcBorders>
              <w:bottom w:val="single" w:sz="12" w:space="0" w:color="auto"/>
              <w:right w:val="single" w:sz="12" w:space="0" w:color="auto"/>
            </w:tcBorders>
            <w:shd w:val="clear" w:color="auto" w:fill="auto"/>
            <w:vAlign w:val="center"/>
          </w:tcPr>
          <w:p w14:paraId="7B756BEF" w14:textId="5CDF97CB" w:rsidR="00D07878" w:rsidRDefault="00E52D2E" w:rsidP="00D07878">
            <w:pPr>
              <w:jc w:val="center"/>
            </w:pPr>
            <w:r w:rsidRPr="00193994">
              <w:sym w:font="Wingdings" w:char="F0E8"/>
            </w:r>
          </w:p>
        </w:tc>
      </w:tr>
    </w:tbl>
    <w:p w14:paraId="2EA9922C" w14:textId="77777777" w:rsidR="00D07878" w:rsidRDefault="00D07878" w:rsidP="00D07878"/>
    <w:p w14:paraId="641AB003" w14:textId="77777777" w:rsidR="00252073" w:rsidRPr="00193994" w:rsidRDefault="00252073" w:rsidP="00252073">
      <w:pPr>
        <w:ind w:firstLine="227"/>
      </w:pPr>
      <w:r w:rsidRPr="00193994">
        <w:t xml:space="preserve">Beoordeling: </w:t>
      </w:r>
      <w:r>
        <w:t>Onvoldoende = 1, Matig = 2, Voldoende = 3, Goed</w:t>
      </w:r>
      <w:r w:rsidRPr="00193994">
        <w:t xml:space="preserve"> = 4</w:t>
      </w:r>
    </w:p>
    <w:p w14:paraId="7327D74E" w14:textId="219557C7" w:rsidR="00252073" w:rsidRDefault="00252073" w:rsidP="00252073">
      <w:pPr>
        <w:ind w:firstLine="227"/>
        <w:rPr>
          <w:rFonts w:ascii="Segoe UI Emoji" w:eastAsia="Segoe UI Emoji" w:hAnsi="Segoe UI Emoji" w:cs="Segoe UI Emoji"/>
          <w:b/>
          <w:noProof/>
        </w:rPr>
      </w:pPr>
      <w:r w:rsidRPr="00193994">
        <w:t>Ver</w:t>
      </w:r>
      <w:r>
        <w:t>andering sinds 2015: Neutraal</w:t>
      </w:r>
      <w:r w:rsidRPr="00193994">
        <w:t xml:space="preserve"> = </w:t>
      </w:r>
      <w:r w:rsidRPr="00193994">
        <w:sym w:font="Wingdings" w:char="F0E8"/>
      </w:r>
      <w:r>
        <w:t xml:space="preserve">, Positief = </w:t>
      </w:r>
      <w:r w:rsidRPr="00193994">
        <w:sym w:font="Wingdings" w:char="F0E9"/>
      </w:r>
      <w:r>
        <w:t xml:space="preserve">, Negatief = </w:t>
      </w:r>
      <w:r w:rsidRPr="00DC2083">
        <w:rPr>
          <w:rFonts w:ascii="Segoe UI Emoji" w:eastAsia="Segoe UI Emoji" w:hAnsi="Segoe UI Emoji" w:cs="Segoe UI Emoji"/>
          <w:b/>
          <w:noProof/>
        </w:rPr>
        <w:sym w:font="Wingdings" w:char="F0EA"/>
      </w:r>
    </w:p>
    <w:p w14:paraId="795529AF" w14:textId="77777777" w:rsidR="005869DA" w:rsidRPr="00164384" w:rsidRDefault="005869DA" w:rsidP="00252073">
      <w:pPr>
        <w:ind w:firstLine="227"/>
      </w:pPr>
    </w:p>
    <w:p w14:paraId="3A596485" w14:textId="5844FB01" w:rsidR="00D07878" w:rsidRDefault="00D07878" w:rsidP="00D07878">
      <w:pPr>
        <w:pStyle w:val="Heading2"/>
        <w:tabs>
          <w:tab w:val="left" w:pos="-1162"/>
          <w:tab w:val="left" w:pos="0"/>
          <w:tab w:val="num" w:pos="1160"/>
        </w:tabs>
        <w:spacing w:line="240" w:lineRule="auto"/>
        <w:ind w:hanging="1162"/>
      </w:pPr>
      <w:bookmarkStart w:id="19" w:name="_Toc410397641"/>
      <w:bookmarkStart w:id="20" w:name="_Toc491267886"/>
      <w:r>
        <w:t xml:space="preserve">1.2 </w:t>
      </w:r>
      <w:r>
        <w:tab/>
        <w:t>Beleidsrelevantie</w:t>
      </w:r>
      <w:bookmarkEnd w:id="19"/>
      <w:bookmarkEnd w:id="20"/>
    </w:p>
    <w:p w14:paraId="53DD0FA9" w14:textId="1DAFC2A5" w:rsidR="00D07878" w:rsidRDefault="00693638" w:rsidP="00D07878">
      <w:r>
        <w:rPr>
          <w:szCs w:val="18"/>
        </w:rPr>
        <w:t xml:space="preserve">UNCTAD is een relevante speler op het gebied van private sectorontwikkeling in ontwikkelingslanden. Vanwege de rol bij het ondersteunen van ontwikkelingslanden op het gebied van hulp, handel en investeringen (w.o. verbeteren van douaneprocessen, identificatie van handelsbarrières, etc.) sluit UNCTAD goed aan op de Nederlandse inzet op dit gebied. UNCTAD onderzoekt ook de relatie tussen genderongelijkheid en handelsliberalisatie en formuleert op basis daarvan beleidsaanbevelingen voor gendergelijkheid. Met het </w:t>
      </w:r>
      <w:r w:rsidRPr="00CC5975">
        <w:rPr>
          <w:i/>
        </w:rPr>
        <w:t>Debt Management and Financial Analysis System</w:t>
      </w:r>
      <w:r w:rsidRPr="00DF734E">
        <w:t xml:space="preserve"> (DMFAS) </w:t>
      </w:r>
      <w:r>
        <w:rPr>
          <w:szCs w:val="18"/>
        </w:rPr>
        <w:t xml:space="preserve">heeft UNCTAD een simpel maar effectief middel in handen om de schuldenlasten van ontwikkelingslanden effectief te beheren. Als kennisinstituut geniet UNCTAD </w:t>
      </w:r>
      <w:r w:rsidRPr="0059493F">
        <w:t xml:space="preserve">een </w:t>
      </w:r>
      <w:r>
        <w:t xml:space="preserve">hoge </w:t>
      </w:r>
      <w:r w:rsidRPr="0059493F">
        <w:t xml:space="preserve">mate van legitimiteit onder </w:t>
      </w:r>
      <w:r>
        <w:t>ontwikkelings</w:t>
      </w:r>
      <w:r w:rsidRPr="0059493F">
        <w:t>landen die organisaties zoals de OESO niet altijd hebben.</w:t>
      </w:r>
      <w:r>
        <w:t xml:space="preserve"> UNCTAD draagt zo onder meer bij aan het harmoniseren van investeringsbeleid.</w:t>
      </w:r>
    </w:p>
    <w:p w14:paraId="45CDBAF0" w14:textId="77777777" w:rsidR="00114409" w:rsidRDefault="0011440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884"/>
        <w:gridCol w:w="1975"/>
        <w:gridCol w:w="1876"/>
      </w:tblGrid>
      <w:tr w:rsidR="00252073" w14:paraId="28EA3DE0" w14:textId="77777777" w:rsidTr="00252073">
        <w:tc>
          <w:tcPr>
            <w:tcW w:w="1962" w:type="dxa"/>
            <w:tcBorders>
              <w:top w:val="single" w:sz="12" w:space="0" w:color="auto"/>
              <w:left w:val="single" w:sz="12" w:space="0" w:color="auto"/>
              <w:bottom w:val="single" w:sz="12" w:space="0" w:color="auto"/>
            </w:tcBorders>
            <w:shd w:val="clear" w:color="auto" w:fill="BFBFBF" w:themeFill="background1" w:themeFillShade="BF"/>
          </w:tcPr>
          <w:p w14:paraId="366458B3" w14:textId="5A7496E5" w:rsidR="00252073" w:rsidRDefault="00252073" w:rsidP="00CA7E73">
            <w:pPr>
              <w:jc w:val="right"/>
            </w:pPr>
          </w:p>
        </w:tc>
        <w:tc>
          <w:tcPr>
            <w:tcW w:w="1884" w:type="dxa"/>
            <w:tcBorders>
              <w:top w:val="single" w:sz="12" w:space="0" w:color="auto"/>
              <w:bottom w:val="single" w:sz="12" w:space="0" w:color="auto"/>
            </w:tcBorders>
            <w:shd w:val="clear" w:color="auto" w:fill="BFBFBF" w:themeFill="background1" w:themeFillShade="BF"/>
          </w:tcPr>
          <w:p w14:paraId="42ABA88A" w14:textId="77777777" w:rsidR="00252073" w:rsidRPr="00D94DB4" w:rsidRDefault="00252073" w:rsidP="00CA7E73">
            <w:pPr>
              <w:rPr>
                <w:b/>
              </w:rPr>
            </w:pPr>
            <w:r w:rsidRPr="00D94DB4">
              <w:rPr>
                <w:b/>
              </w:rPr>
              <w:t>Uitvoerend</w:t>
            </w:r>
          </w:p>
        </w:tc>
        <w:tc>
          <w:tcPr>
            <w:tcW w:w="1975" w:type="dxa"/>
            <w:tcBorders>
              <w:top w:val="single" w:sz="12" w:space="0" w:color="auto"/>
              <w:bottom w:val="single" w:sz="12" w:space="0" w:color="auto"/>
            </w:tcBorders>
            <w:shd w:val="clear" w:color="auto" w:fill="BFBFBF" w:themeFill="background1" w:themeFillShade="BF"/>
          </w:tcPr>
          <w:p w14:paraId="4E6D83FC" w14:textId="77777777" w:rsidR="00252073" w:rsidRPr="00D94DB4" w:rsidRDefault="00252073" w:rsidP="00CA7E73">
            <w:pPr>
              <w:rPr>
                <w:b/>
              </w:rPr>
            </w:pPr>
            <w:r w:rsidRPr="00D94DB4">
              <w:rPr>
                <w:b/>
              </w:rPr>
              <w:t>Coördinerend</w:t>
            </w:r>
          </w:p>
        </w:tc>
        <w:tc>
          <w:tcPr>
            <w:tcW w:w="1876" w:type="dxa"/>
            <w:tcBorders>
              <w:top w:val="single" w:sz="12" w:space="0" w:color="auto"/>
              <w:bottom w:val="single" w:sz="12" w:space="0" w:color="auto"/>
              <w:right w:val="single" w:sz="12" w:space="0" w:color="auto"/>
            </w:tcBorders>
            <w:shd w:val="clear" w:color="auto" w:fill="BFBFBF" w:themeFill="background1" w:themeFillShade="BF"/>
          </w:tcPr>
          <w:p w14:paraId="5A6D29D2" w14:textId="77777777" w:rsidR="00252073" w:rsidRPr="00D94DB4" w:rsidRDefault="00252073" w:rsidP="00CA7E73">
            <w:pPr>
              <w:rPr>
                <w:b/>
              </w:rPr>
            </w:pPr>
            <w:r w:rsidRPr="00D94DB4">
              <w:rPr>
                <w:b/>
              </w:rPr>
              <w:t>Normatief</w:t>
            </w:r>
          </w:p>
        </w:tc>
      </w:tr>
      <w:tr w:rsidR="00252073" w14:paraId="42D9497E" w14:textId="77777777" w:rsidTr="00114409">
        <w:trPr>
          <w:trHeight w:val="195"/>
        </w:trPr>
        <w:tc>
          <w:tcPr>
            <w:tcW w:w="7697" w:type="dxa"/>
            <w:gridSpan w:val="4"/>
            <w:tcBorders>
              <w:top w:val="single" w:sz="12" w:space="0" w:color="auto"/>
              <w:left w:val="single" w:sz="12" w:space="0" w:color="auto"/>
              <w:right w:val="single" w:sz="12" w:space="0" w:color="auto"/>
            </w:tcBorders>
            <w:shd w:val="clear" w:color="auto" w:fill="BFBFBF" w:themeFill="background1" w:themeFillShade="BF"/>
          </w:tcPr>
          <w:p w14:paraId="6BCD6CF1" w14:textId="1C9DA6C0" w:rsidR="00252073" w:rsidRPr="00D94DB4" w:rsidRDefault="00252073" w:rsidP="00CA7E73">
            <w:pPr>
              <w:rPr>
                <w:b/>
              </w:rPr>
            </w:pPr>
            <w:r>
              <w:rPr>
                <w:b/>
              </w:rPr>
              <w:t>Relevantie voor de Nederlandse BHOS-prioriteiten</w:t>
            </w:r>
          </w:p>
        </w:tc>
      </w:tr>
      <w:tr w:rsidR="00252073" w14:paraId="0F3EC0B9" w14:textId="77777777" w:rsidTr="00252073">
        <w:tc>
          <w:tcPr>
            <w:tcW w:w="1962" w:type="dxa"/>
            <w:tcBorders>
              <w:top w:val="single" w:sz="12" w:space="0" w:color="auto"/>
              <w:left w:val="single" w:sz="12" w:space="0" w:color="auto"/>
            </w:tcBorders>
            <w:shd w:val="clear" w:color="auto" w:fill="auto"/>
          </w:tcPr>
          <w:p w14:paraId="24E54F00" w14:textId="77777777" w:rsidR="00252073" w:rsidRDefault="00252073" w:rsidP="00CA7E73">
            <w:r>
              <w:t>Private sector ontwikkeling</w:t>
            </w:r>
          </w:p>
        </w:tc>
        <w:tc>
          <w:tcPr>
            <w:tcW w:w="1884" w:type="dxa"/>
            <w:tcBorders>
              <w:top w:val="single" w:sz="12" w:space="0" w:color="auto"/>
            </w:tcBorders>
            <w:shd w:val="clear" w:color="auto" w:fill="auto"/>
          </w:tcPr>
          <w:p w14:paraId="0C147FE1" w14:textId="77777777" w:rsidR="00252073" w:rsidRDefault="00252073" w:rsidP="00CA7E73">
            <w:r>
              <w:t>3</w:t>
            </w:r>
          </w:p>
        </w:tc>
        <w:tc>
          <w:tcPr>
            <w:tcW w:w="1975" w:type="dxa"/>
            <w:tcBorders>
              <w:top w:val="single" w:sz="12" w:space="0" w:color="auto"/>
            </w:tcBorders>
            <w:shd w:val="clear" w:color="auto" w:fill="auto"/>
          </w:tcPr>
          <w:p w14:paraId="097A9C28" w14:textId="77777777" w:rsidR="00252073" w:rsidRDefault="00252073" w:rsidP="00CA7E73"/>
        </w:tc>
        <w:tc>
          <w:tcPr>
            <w:tcW w:w="1876" w:type="dxa"/>
            <w:tcBorders>
              <w:top w:val="single" w:sz="12" w:space="0" w:color="auto"/>
              <w:right w:val="single" w:sz="12" w:space="0" w:color="auto"/>
            </w:tcBorders>
            <w:shd w:val="clear" w:color="auto" w:fill="auto"/>
          </w:tcPr>
          <w:p w14:paraId="3FC54D99" w14:textId="77777777" w:rsidR="00252073" w:rsidRDefault="00252073" w:rsidP="00CA7E73">
            <w:r>
              <w:t>3</w:t>
            </w:r>
          </w:p>
        </w:tc>
      </w:tr>
      <w:tr w:rsidR="00252073" w14:paraId="1D06E39E" w14:textId="77777777" w:rsidTr="00252073">
        <w:tc>
          <w:tcPr>
            <w:tcW w:w="1962" w:type="dxa"/>
            <w:tcBorders>
              <w:left w:val="single" w:sz="12" w:space="0" w:color="auto"/>
              <w:bottom w:val="single" w:sz="12" w:space="0" w:color="auto"/>
            </w:tcBorders>
            <w:shd w:val="clear" w:color="auto" w:fill="auto"/>
          </w:tcPr>
          <w:p w14:paraId="07D7053D" w14:textId="095E6336" w:rsidR="00252073" w:rsidRDefault="00252073" w:rsidP="00CA7E73">
            <w:r>
              <w:t>Gendergelijkheid</w:t>
            </w:r>
          </w:p>
        </w:tc>
        <w:tc>
          <w:tcPr>
            <w:tcW w:w="1884" w:type="dxa"/>
            <w:tcBorders>
              <w:bottom w:val="single" w:sz="12" w:space="0" w:color="auto"/>
            </w:tcBorders>
            <w:shd w:val="clear" w:color="auto" w:fill="auto"/>
          </w:tcPr>
          <w:p w14:paraId="5EF09E98" w14:textId="57F58EEF" w:rsidR="00252073" w:rsidRDefault="00252073" w:rsidP="00CA7E73"/>
        </w:tc>
        <w:tc>
          <w:tcPr>
            <w:tcW w:w="1975" w:type="dxa"/>
            <w:tcBorders>
              <w:bottom w:val="single" w:sz="12" w:space="0" w:color="auto"/>
            </w:tcBorders>
            <w:shd w:val="clear" w:color="auto" w:fill="auto"/>
          </w:tcPr>
          <w:p w14:paraId="50011837" w14:textId="77777777" w:rsidR="00252073" w:rsidRDefault="00252073" w:rsidP="00CA7E73"/>
        </w:tc>
        <w:tc>
          <w:tcPr>
            <w:tcW w:w="1876" w:type="dxa"/>
            <w:tcBorders>
              <w:bottom w:val="single" w:sz="12" w:space="0" w:color="auto"/>
              <w:right w:val="single" w:sz="12" w:space="0" w:color="auto"/>
            </w:tcBorders>
            <w:shd w:val="clear" w:color="auto" w:fill="auto"/>
          </w:tcPr>
          <w:p w14:paraId="550ADE81" w14:textId="72BC1A37" w:rsidR="00252073" w:rsidRDefault="00394586" w:rsidP="00CA7E73">
            <w:r>
              <w:t>3</w:t>
            </w:r>
          </w:p>
        </w:tc>
      </w:tr>
      <w:tr w:rsidR="00252073" w14:paraId="0E2A5B78" w14:textId="77777777" w:rsidTr="00114409">
        <w:trPr>
          <w:trHeight w:val="200"/>
        </w:trPr>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A42C272" w14:textId="77777777" w:rsidR="00252073" w:rsidRDefault="00252073" w:rsidP="00CA7E73">
            <w:r>
              <w:rPr>
                <w:b/>
              </w:rPr>
              <w:t>Overige relevantie</w:t>
            </w:r>
          </w:p>
        </w:tc>
      </w:tr>
      <w:tr w:rsidR="00252073" w14:paraId="0757032D" w14:textId="77777777" w:rsidTr="006E3417">
        <w:tc>
          <w:tcPr>
            <w:tcW w:w="1962" w:type="dxa"/>
            <w:tcBorders>
              <w:top w:val="single" w:sz="12" w:space="0" w:color="auto"/>
              <w:left w:val="single" w:sz="12" w:space="0" w:color="auto"/>
            </w:tcBorders>
            <w:shd w:val="clear" w:color="auto" w:fill="auto"/>
          </w:tcPr>
          <w:p w14:paraId="4EB91207" w14:textId="3320B10B" w:rsidR="00252073" w:rsidRPr="007B7BB5" w:rsidRDefault="00252073" w:rsidP="00CA7E73">
            <w:r w:rsidRPr="001C376D">
              <w:t>Schuldenbeheer</w:t>
            </w:r>
          </w:p>
        </w:tc>
        <w:tc>
          <w:tcPr>
            <w:tcW w:w="1884" w:type="dxa"/>
            <w:tcBorders>
              <w:top w:val="single" w:sz="12" w:space="0" w:color="auto"/>
            </w:tcBorders>
            <w:shd w:val="clear" w:color="auto" w:fill="auto"/>
          </w:tcPr>
          <w:p w14:paraId="2CF56C90" w14:textId="77777777" w:rsidR="00252073" w:rsidRPr="001C376D" w:rsidRDefault="00252073" w:rsidP="00CA7E73">
            <w:r w:rsidRPr="001C376D">
              <w:t>3</w:t>
            </w:r>
          </w:p>
        </w:tc>
        <w:tc>
          <w:tcPr>
            <w:tcW w:w="1975" w:type="dxa"/>
            <w:tcBorders>
              <w:top w:val="single" w:sz="12" w:space="0" w:color="auto"/>
            </w:tcBorders>
            <w:shd w:val="clear" w:color="auto" w:fill="auto"/>
          </w:tcPr>
          <w:p w14:paraId="5E5297DE" w14:textId="77777777" w:rsidR="00252073" w:rsidRPr="001C376D" w:rsidRDefault="00252073" w:rsidP="00CA7E73"/>
        </w:tc>
        <w:tc>
          <w:tcPr>
            <w:tcW w:w="1876" w:type="dxa"/>
            <w:tcBorders>
              <w:top w:val="single" w:sz="12" w:space="0" w:color="auto"/>
              <w:right w:val="single" w:sz="12" w:space="0" w:color="auto"/>
            </w:tcBorders>
            <w:shd w:val="clear" w:color="auto" w:fill="auto"/>
          </w:tcPr>
          <w:p w14:paraId="21990B66" w14:textId="77777777" w:rsidR="00252073" w:rsidRPr="001C376D" w:rsidRDefault="00252073" w:rsidP="00CA7E73"/>
        </w:tc>
      </w:tr>
      <w:tr w:rsidR="00252073" w14:paraId="60C95A71" w14:textId="77777777" w:rsidTr="006E3417">
        <w:tc>
          <w:tcPr>
            <w:tcW w:w="1962" w:type="dxa"/>
            <w:tcBorders>
              <w:left w:val="single" w:sz="12" w:space="0" w:color="auto"/>
              <w:bottom w:val="single" w:sz="12" w:space="0" w:color="auto"/>
            </w:tcBorders>
            <w:shd w:val="clear" w:color="auto" w:fill="auto"/>
          </w:tcPr>
          <w:p w14:paraId="302194E3" w14:textId="5E7ABA49" w:rsidR="00252073" w:rsidRPr="001C376D" w:rsidRDefault="00071F58" w:rsidP="00CA7E73">
            <w:r>
              <w:t>I</w:t>
            </w:r>
            <w:r w:rsidR="00252073" w:rsidRPr="001C376D">
              <w:t>nvesteringsbeleid</w:t>
            </w:r>
          </w:p>
        </w:tc>
        <w:tc>
          <w:tcPr>
            <w:tcW w:w="1884" w:type="dxa"/>
            <w:tcBorders>
              <w:bottom w:val="single" w:sz="12" w:space="0" w:color="auto"/>
            </w:tcBorders>
            <w:shd w:val="clear" w:color="auto" w:fill="auto"/>
          </w:tcPr>
          <w:p w14:paraId="1359A381" w14:textId="77777777" w:rsidR="00252073" w:rsidRPr="001C376D" w:rsidRDefault="00252073" w:rsidP="00CA7E73"/>
        </w:tc>
        <w:tc>
          <w:tcPr>
            <w:tcW w:w="1975" w:type="dxa"/>
            <w:tcBorders>
              <w:bottom w:val="single" w:sz="12" w:space="0" w:color="auto"/>
            </w:tcBorders>
            <w:shd w:val="clear" w:color="auto" w:fill="auto"/>
          </w:tcPr>
          <w:p w14:paraId="70E259F0" w14:textId="77777777" w:rsidR="00252073" w:rsidRPr="001C376D" w:rsidRDefault="00252073" w:rsidP="00CA7E73"/>
        </w:tc>
        <w:tc>
          <w:tcPr>
            <w:tcW w:w="1876" w:type="dxa"/>
            <w:tcBorders>
              <w:bottom w:val="single" w:sz="12" w:space="0" w:color="auto"/>
              <w:right w:val="single" w:sz="12" w:space="0" w:color="auto"/>
            </w:tcBorders>
            <w:shd w:val="clear" w:color="auto" w:fill="auto"/>
          </w:tcPr>
          <w:p w14:paraId="36A1305E" w14:textId="77777777" w:rsidR="00252073" w:rsidRPr="001C376D" w:rsidRDefault="00252073" w:rsidP="00CA7E73">
            <w:r w:rsidRPr="001C376D">
              <w:t>4</w:t>
            </w:r>
          </w:p>
        </w:tc>
      </w:tr>
    </w:tbl>
    <w:p w14:paraId="74887D2B" w14:textId="77777777" w:rsidR="00252073" w:rsidRDefault="00252073" w:rsidP="00D07878"/>
    <w:p w14:paraId="2453AC53" w14:textId="3491DCE5" w:rsidR="00252073" w:rsidRDefault="00252073" w:rsidP="00252073">
      <w:pPr>
        <w:ind w:firstLine="227"/>
      </w:pPr>
      <w:r w:rsidRPr="00193994">
        <w:t xml:space="preserve">Beoordeling: </w:t>
      </w:r>
      <w:r>
        <w:t>Onvoldoende = 1, Matig = 2, Voldoende = 3, Goed</w:t>
      </w:r>
      <w:r w:rsidRPr="00193994">
        <w:t xml:space="preserve"> = 4</w:t>
      </w:r>
    </w:p>
    <w:p w14:paraId="68AEFC44" w14:textId="2E020060" w:rsidR="00B95FC2" w:rsidRPr="00734374" w:rsidRDefault="00D07878" w:rsidP="00734374">
      <w:pPr>
        <w:pStyle w:val="Heading1"/>
        <w:tabs>
          <w:tab w:val="num" w:pos="0"/>
        </w:tabs>
        <w:spacing w:after="240" w:line="240" w:lineRule="auto"/>
        <w:ind w:hanging="1162"/>
      </w:pPr>
      <w:bookmarkStart w:id="21" w:name="_Toc491267887"/>
      <w:r>
        <w:lastRenderedPageBreak/>
        <w:t>2</w:t>
      </w:r>
      <w:r w:rsidR="00734374" w:rsidRPr="00734374">
        <w:t xml:space="preserve"> </w:t>
      </w:r>
      <w:r w:rsidR="00734374">
        <w:tab/>
      </w:r>
      <w:r w:rsidR="00AD0CCB" w:rsidRPr="00734374">
        <w:t>Inleiding</w:t>
      </w:r>
      <w:bookmarkEnd w:id="16"/>
      <w:bookmarkEnd w:id="21"/>
    </w:p>
    <w:p w14:paraId="4557AE0E" w14:textId="348A5E99"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D07878">
        <w:rPr>
          <w:szCs w:val="18"/>
          <w:lang w:eastAsia="zh-CN"/>
        </w:rPr>
        <w:t xml:space="preserve"> (IFI’s)</w:t>
      </w:r>
      <w:r w:rsidR="003B4CB4">
        <w:rPr>
          <w:szCs w:val="18"/>
          <w:lang w:eastAsia="zh-CN"/>
        </w:rPr>
        <w:t xml:space="preserve">, </w:t>
      </w:r>
      <w:r w:rsidR="00223E42">
        <w:rPr>
          <w:szCs w:val="18"/>
          <w:lang w:eastAsia="zh-CN"/>
        </w:rPr>
        <w:t xml:space="preserve">de voor </w:t>
      </w:r>
      <w:r w:rsidR="00D07878">
        <w:rPr>
          <w:szCs w:val="18"/>
          <w:lang w:eastAsia="zh-CN"/>
        </w:rPr>
        <w:t xml:space="preserve">Nederlandse beleid voor Buitenlandse Handel en Ontwikkelingssamenwerking (BHOS) </w:t>
      </w:r>
      <w:r w:rsidR="00223E42">
        <w:rPr>
          <w:szCs w:val="18"/>
          <w:lang w:eastAsia="zh-CN"/>
        </w:rPr>
        <w:t>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w:t>
      </w:r>
      <w:r w:rsidR="00D07878">
        <w:rPr>
          <w:szCs w:val="18"/>
          <w:lang w:eastAsia="zh-CN"/>
        </w:rPr>
        <w:t>BHOS-beleid</w:t>
      </w:r>
      <w:r w:rsidR="00CF0A55">
        <w:rPr>
          <w:szCs w:val="18"/>
          <w:lang w:eastAsia="zh-CN"/>
        </w:rPr>
        <w:t>,</w:t>
      </w:r>
      <w:r w:rsidR="005D3322">
        <w:rPr>
          <w:szCs w:val="18"/>
          <w:lang w:eastAsia="zh-CN"/>
        </w:rPr>
        <w:t xml:space="preserve"> maar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4FBD1A50"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vierpuntsschaal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24A756FD" w14:textId="77777777" w:rsidR="005150FC"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r w:rsidRPr="00AF36B0">
        <w:rPr>
          <w:i/>
          <w:szCs w:val="18"/>
          <w:lang w:eastAsia="zh-CN"/>
        </w:rPr>
        <w:t>Multilateral Organisations Performance Assessment Network</w:t>
      </w:r>
      <w:r w:rsidRPr="00307981">
        <w:rPr>
          <w:szCs w:val="18"/>
          <w:lang w:eastAsia="zh-CN"/>
        </w:rPr>
        <w:t xml:space="preserve"> (MOPAN)</w:t>
      </w:r>
      <w:r w:rsidR="00456C9B">
        <w:rPr>
          <w:szCs w:val="18"/>
          <w:lang w:eastAsia="zh-CN"/>
        </w:rPr>
        <w:t>.</w:t>
      </w:r>
      <w:r>
        <w:rPr>
          <w:rStyle w:val="FootnoteReference"/>
          <w:szCs w:val="18"/>
          <w:lang w:eastAsia="zh-CN"/>
        </w:rPr>
        <w:footnoteReference w:id="2"/>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Kiesgroepkantoren.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r w:rsidR="00AC567F">
        <w:rPr>
          <w:szCs w:val="18"/>
          <w:lang w:eastAsia="zh-CN"/>
        </w:rPr>
        <w:t>De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42C0FF47" w14:textId="77777777" w:rsidR="00307981" w:rsidRPr="00307981" w:rsidRDefault="00307981" w:rsidP="00307981"/>
    <w:p w14:paraId="010E18B2" w14:textId="1158CEB9" w:rsidR="00D745A7" w:rsidRDefault="00D07878" w:rsidP="00F24A31">
      <w:pPr>
        <w:pStyle w:val="Heading1"/>
        <w:tabs>
          <w:tab w:val="num" w:pos="0"/>
        </w:tabs>
        <w:spacing w:after="240" w:line="240" w:lineRule="auto"/>
        <w:ind w:hanging="1162"/>
      </w:pPr>
      <w:bookmarkStart w:id="22" w:name="_Toc491267888"/>
      <w:r>
        <w:lastRenderedPageBreak/>
        <w:t>3</w:t>
      </w:r>
      <w:r w:rsidR="00F24A31">
        <w:t xml:space="preserve"> </w:t>
      </w:r>
      <w:r w:rsidR="00F24A31">
        <w:tab/>
      </w:r>
      <w:r w:rsidR="00D745A7">
        <w:t>Algemene achtergrond</w:t>
      </w:r>
      <w:bookmarkEnd w:id="22"/>
    </w:p>
    <w:p w14:paraId="50E59E7D" w14:textId="77777777" w:rsidR="00D07878" w:rsidRPr="00D07878" w:rsidRDefault="00D07878" w:rsidP="00D07878">
      <w:pPr>
        <w:pStyle w:val="ListParagraph"/>
        <w:keepNext/>
        <w:widowControl w:val="0"/>
        <w:numPr>
          <w:ilvl w:val="0"/>
          <w:numId w:val="21"/>
        </w:numPr>
        <w:tabs>
          <w:tab w:val="left" w:pos="-1162"/>
          <w:tab w:val="left" w:pos="0"/>
        </w:tabs>
        <w:spacing w:before="200" w:line="240" w:lineRule="auto"/>
        <w:outlineLvl w:val="1"/>
        <w:rPr>
          <w:rFonts w:cs="Arial"/>
          <w:b/>
          <w:iCs/>
          <w:vanish/>
          <w:kern w:val="32"/>
          <w:szCs w:val="28"/>
        </w:rPr>
      </w:pPr>
    </w:p>
    <w:p w14:paraId="11B396E4" w14:textId="77777777" w:rsidR="00D07878" w:rsidRPr="00D07878" w:rsidRDefault="00D07878" w:rsidP="00D07878">
      <w:pPr>
        <w:pStyle w:val="ListParagraph"/>
        <w:keepNext/>
        <w:widowControl w:val="0"/>
        <w:numPr>
          <w:ilvl w:val="0"/>
          <w:numId w:val="21"/>
        </w:numPr>
        <w:tabs>
          <w:tab w:val="left" w:pos="-1162"/>
          <w:tab w:val="left" w:pos="0"/>
        </w:tabs>
        <w:spacing w:before="200" w:line="240" w:lineRule="auto"/>
        <w:outlineLvl w:val="1"/>
        <w:rPr>
          <w:rFonts w:cs="Arial"/>
          <w:b/>
          <w:iCs/>
          <w:vanish/>
          <w:kern w:val="32"/>
          <w:szCs w:val="28"/>
        </w:rPr>
      </w:pPr>
    </w:p>
    <w:p w14:paraId="14D6063C" w14:textId="3E2B194A" w:rsidR="006C1EB0" w:rsidRDefault="005869DA" w:rsidP="00D07878">
      <w:pPr>
        <w:pStyle w:val="Heading2"/>
        <w:numPr>
          <w:ilvl w:val="1"/>
          <w:numId w:val="21"/>
        </w:numPr>
        <w:tabs>
          <w:tab w:val="left" w:pos="-1162"/>
          <w:tab w:val="left" w:pos="0"/>
        </w:tabs>
        <w:spacing w:line="240" w:lineRule="auto"/>
      </w:pPr>
      <w:r>
        <w:t xml:space="preserve"> </w:t>
      </w:r>
      <w:r>
        <w:tab/>
      </w:r>
      <w:bookmarkStart w:id="23" w:name="_Toc491267889"/>
      <w:r w:rsidR="0055776D">
        <w:t>Doelstelling</w:t>
      </w:r>
      <w:r w:rsidR="00FC6EC6">
        <w:t xml:space="preserve"> en toegevoegde waarde</w:t>
      </w:r>
      <w:bookmarkEnd w:id="23"/>
    </w:p>
    <w:p w14:paraId="51F666AB" w14:textId="07BDC66A" w:rsidR="00476E79" w:rsidRDefault="0089679F" w:rsidP="00351B14">
      <w:r w:rsidRPr="00F13108">
        <w:t xml:space="preserve">De </w:t>
      </w:r>
      <w:r w:rsidRPr="00C62A7C">
        <w:rPr>
          <w:i/>
        </w:rPr>
        <w:t>United Nations Conference on Trade and Development</w:t>
      </w:r>
      <w:r w:rsidRPr="00F13108">
        <w:t xml:space="preserve"> (UNCTAD) is </w:t>
      </w:r>
      <w:r w:rsidR="005870F8">
        <w:t>de</w:t>
      </w:r>
      <w:r w:rsidR="005870F8" w:rsidRPr="00F13108">
        <w:t xml:space="preserve"> </w:t>
      </w:r>
      <w:r w:rsidRPr="00F13108">
        <w:t>VN-</w:t>
      </w:r>
      <w:r w:rsidR="005870F8">
        <w:t>organisatie</w:t>
      </w:r>
      <w:r w:rsidR="005870F8" w:rsidRPr="00F13108">
        <w:t xml:space="preserve"> </w:t>
      </w:r>
      <w:r w:rsidR="00476E79">
        <w:t>voor</w:t>
      </w:r>
      <w:r w:rsidRPr="00F13108">
        <w:t xml:space="preserve"> handel</w:t>
      </w:r>
      <w:r>
        <w:t>, investeringen</w:t>
      </w:r>
      <w:r w:rsidRPr="00F13108">
        <w:t xml:space="preserve"> en ontwikkeling</w:t>
      </w:r>
      <w:r w:rsidR="00476E79">
        <w:t xml:space="preserve">. </w:t>
      </w:r>
      <w:r w:rsidR="00FF2EDE">
        <w:rPr>
          <w:szCs w:val="18"/>
        </w:rPr>
        <w:t>UNCTAD is in 1964 ontstaan uit een conferentie over o.a. internationale grondstofprijsafspraken en voordelige handelsafspraken tussen ontwikkelde</w:t>
      </w:r>
      <w:r w:rsidR="009D4EF3">
        <w:rPr>
          <w:szCs w:val="18"/>
        </w:rPr>
        <w:t>-</w:t>
      </w:r>
      <w:r w:rsidR="00FF2EDE">
        <w:rPr>
          <w:szCs w:val="18"/>
        </w:rPr>
        <w:t xml:space="preserve"> en ontwikkelingslanden om (industriële) ontwikkeling te bevorderen. De organisatie heeft lang gefungeerd als tegenhanger van de </w:t>
      </w:r>
      <w:r w:rsidR="00FF2EDE" w:rsidRPr="00A246BF">
        <w:rPr>
          <w:i/>
          <w:szCs w:val="18"/>
        </w:rPr>
        <w:t>G</w:t>
      </w:r>
      <w:r w:rsidR="00A246BF" w:rsidRPr="00A246BF">
        <w:rPr>
          <w:i/>
          <w:szCs w:val="18"/>
        </w:rPr>
        <w:t xml:space="preserve">eneral </w:t>
      </w:r>
      <w:r w:rsidR="00FF2EDE" w:rsidRPr="00A246BF">
        <w:rPr>
          <w:i/>
          <w:szCs w:val="18"/>
        </w:rPr>
        <w:t>A</w:t>
      </w:r>
      <w:r w:rsidR="00A246BF" w:rsidRPr="00A246BF">
        <w:rPr>
          <w:i/>
          <w:szCs w:val="18"/>
        </w:rPr>
        <w:t xml:space="preserve">greement on </w:t>
      </w:r>
      <w:r w:rsidR="00FF2EDE" w:rsidRPr="00A246BF">
        <w:rPr>
          <w:i/>
          <w:szCs w:val="18"/>
        </w:rPr>
        <w:t>T</w:t>
      </w:r>
      <w:r w:rsidR="00A246BF" w:rsidRPr="00A246BF">
        <w:rPr>
          <w:i/>
          <w:szCs w:val="18"/>
        </w:rPr>
        <w:t xml:space="preserve">ariffs and </w:t>
      </w:r>
      <w:r w:rsidR="00FF2EDE" w:rsidRPr="00A246BF">
        <w:rPr>
          <w:i/>
          <w:szCs w:val="18"/>
        </w:rPr>
        <w:t>T</w:t>
      </w:r>
      <w:r w:rsidR="00A246BF" w:rsidRPr="00A246BF">
        <w:rPr>
          <w:i/>
          <w:szCs w:val="18"/>
        </w:rPr>
        <w:t>rade</w:t>
      </w:r>
      <w:r w:rsidR="004E130B">
        <w:rPr>
          <w:szCs w:val="18"/>
        </w:rPr>
        <w:t xml:space="preserve"> – de </w:t>
      </w:r>
      <w:r w:rsidR="00FF2EDE">
        <w:rPr>
          <w:szCs w:val="18"/>
        </w:rPr>
        <w:t>voorloper van de W</w:t>
      </w:r>
      <w:r w:rsidR="00A246BF">
        <w:rPr>
          <w:szCs w:val="18"/>
        </w:rPr>
        <w:t>ereldhandelsorganisatie (W</w:t>
      </w:r>
      <w:r w:rsidR="00FF2EDE">
        <w:rPr>
          <w:szCs w:val="18"/>
        </w:rPr>
        <w:t>TO</w:t>
      </w:r>
      <w:r w:rsidR="00A246BF">
        <w:rPr>
          <w:szCs w:val="18"/>
        </w:rPr>
        <w:t>)</w:t>
      </w:r>
      <w:r w:rsidR="004E130B">
        <w:rPr>
          <w:szCs w:val="18"/>
        </w:rPr>
        <w:t xml:space="preserve"> – en </w:t>
      </w:r>
      <w:r w:rsidR="00FF2EDE">
        <w:rPr>
          <w:szCs w:val="18"/>
        </w:rPr>
        <w:t xml:space="preserve">pleitbezorger van de groep van ontwikkelingslanden (de G77). </w:t>
      </w:r>
      <w:r w:rsidR="0035532A">
        <w:rPr>
          <w:szCs w:val="18"/>
        </w:rPr>
        <w:t>Tegenwoordig</w:t>
      </w:r>
      <w:r w:rsidR="00557367" w:rsidDel="00FF2EDE">
        <w:rPr>
          <w:szCs w:val="18"/>
        </w:rPr>
        <w:t xml:space="preserve"> </w:t>
      </w:r>
      <w:r>
        <w:t xml:space="preserve">heeft </w:t>
      </w:r>
      <w:r w:rsidR="0035532A">
        <w:t>UNCTAD</w:t>
      </w:r>
      <w:r w:rsidR="00FF2EDE">
        <w:t xml:space="preserve"> </w:t>
      </w:r>
      <w:r>
        <w:t>een normatieve rol als</w:t>
      </w:r>
      <w:r w:rsidRPr="00F13108">
        <w:t xml:space="preserve"> forum voor intergouvernementeel overleg</w:t>
      </w:r>
      <w:r w:rsidR="00476E79">
        <w:t>;</w:t>
      </w:r>
      <w:r w:rsidR="00557367">
        <w:t xml:space="preserve"> </w:t>
      </w:r>
      <w:r w:rsidR="00445BF7">
        <w:t>fungeert als kennisinstituut op het gebied van handel en investeringen</w:t>
      </w:r>
      <w:r w:rsidR="00476E79">
        <w:t>;</w:t>
      </w:r>
      <w:r>
        <w:t xml:space="preserve"> </w:t>
      </w:r>
      <w:r w:rsidR="00476E79">
        <w:t>en</w:t>
      </w:r>
      <w:r w:rsidR="00557367">
        <w:t xml:space="preserve"> </w:t>
      </w:r>
      <w:r w:rsidRPr="00F13108">
        <w:t xml:space="preserve">biedt technische ondersteuning aan ontwikkelingslanden. </w:t>
      </w:r>
      <w:r w:rsidR="00317297">
        <w:t xml:space="preserve">De organisatie heeft als </w:t>
      </w:r>
      <w:r w:rsidR="00ED4703">
        <w:t xml:space="preserve">algeheel </w:t>
      </w:r>
      <w:r w:rsidR="00317297">
        <w:t>doel ontwikkelingslanden te ondersteunen in de integratie met de wereldeconomie</w:t>
      </w:r>
      <w:r w:rsidR="00ED4703">
        <w:t xml:space="preserve">, de negatieve effecten van dit integratieproces te helpen opvangen en zorgen dat ontwikkelingslanden </w:t>
      </w:r>
      <w:r w:rsidR="00AF53ED">
        <w:t xml:space="preserve">eveneens de vruchten van de mondialisering plukken. </w:t>
      </w:r>
    </w:p>
    <w:p w14:paraId="1BC137D8" w14:textId="20AE3865" w:rsidR="00317297" w:rsidRDefault="00317297" w:rsidP="00B37C5B"/>
    <w:p w14:paraId="5D68D3EE" w14:textId="12028D0B" w:rsidR="00A747CF" w:rsidRDefault="0089679F" w:rsidP="0089679F">
      <w:r w:rsidRPr="00DB2F87">
        <w:t xml:space="preserve">UNCTAD draagt bij aan het internationale debat over </w:t>
      </w:r>
      <w:r w:rsidR="00476E79" w:rsidRPr="00DB2F87">
        <w:t xml:space="preserve">de bevordering van ontwikkeling door internationale handel </w:t>
      </w:r>
      <w:r w:rsidR="00476E79">
        <w:t xml:space="preserve">en </w:t>
      </w:r>
      <w:r w:rsidRPr="00DB2F87">
        <w:t xml:space="preserve">de </w:t>
      </w:r>
      <w:r w:rsidR="00476E79">
        <w:t>gevolgen</w:t>
      </w:r>
      <w:r w:rsidR="00476E79" w:rsidRPr="00DB2F87">
        <w:t xml:space="preserve"> </w:t>
      </w:r>
      <w:r w:rsidRPr="00DB2F87">
        <w:t>van globalisering voor ontwikkelingslanden</w:t>
      </w:r>
      <w:r w:rsidR="005870F8">
        <w:t>.</w:t>
      </w:r>
      <w:r w:rsidR="004C7E72">
        <w:t xml:space="preserve"> Zo publiceert UNCTAD jaarlijks het toonaangevende </w:t>
      </w:r>
      <w:r w:rsidR="004C7E72" w:rsidRPr="00C62A7C">
        <w:rPr>
          <w:i/>
        </w:rPr>
        <w:t>World Investment Report</w:t>
      </w:r>
      <w:r w:rsidR="004C7E72">
        <w:t xml:space="preserve"> en</w:t>
      </w:r>
      <w:r w:rsidR="004C7E72" w:rsidRPr="00F13108">
        <w:t xml:space="preserve"> organiseert</w:t>
      </w:r>
      <w:r w:rsidR="004C7E72">
        <w:t xml:space="preserve"> ze </w:t>
      </w:r>
      <w:r w:rsidR="004C7E72" w:rsidRPr="00F13108">
        <w:t xml:space="preserve">tweejaarlijks het </w:t>
      </w:r>
      <w:r w:rsidR="004C7E72" w:rsidRPr="00C62A7C">
        <w:rPr>
          <w:i/>
        </w:rPr>
        <w:t>World Investment Forum</w:t>
      </w:r>
      <w:r w:rsidR="004C7E72">
        <w:t xml:space="preserve">, waarin de belangrijkste wereldwijde investeringsuitdagingen worden besproken. </w:t>
      </w:r>
      <w:r w:rsidR="005870F8">
        <w:t>Ook</w:t>
      </w:r>
      <w:r w:rsidRPr="00DB2F87">
        <w:t xml:space="preserve"> </w:t>
      </w:r>
      <w:r w:rsidR="005870F8">
        <w:t xml:space="preserve">stelt </w:t>
      </w:r>
      <w:r w:rsidR="00B37C5B">
        <w:t>de organisatie</w:t>
      </w:r>
      <w:r w:rsidR="005870F8">
        <w:t xml:space="preserve"> expertise beschikbaar</w:t>
      </w:r>
      <w:r w:rsidRPr="00DB2F87">
        <w:t xml:space="preserve"> </w:t>
      </w:r>
      <w:r>
        <w:t>(met name</w:t>
      </w:r>
      <w:r w:rsidR="005870F8">
        <w:t xml:space="preserve"> aan</w:t>
      </w:r>
      <w:r>
        <w:t xml:space="preserve"> lage inkomenslanden) </w:t>
      </w:r>
      <w:r w:rsidRPr="00DB2F87">
        <w:t>op het terrein van investeringen en private sectorontwikkeling.</w:t>
      </w:r>
      <w:r w:rsidR="00D453B9">
        <w:t xml:space="preserve"> </w:t>
      </w:r>
    </w:p>
    <w:p w14:paraId="7C2B71D0" w14:textId="77777777" w:rsidR="00A747CF" w:rsidRDefault="00A747CF" w:rsidP="0089679F"/>
    <w:p w14:paraId="2E8C874E" w14:textId="796EBCB1" w:rsidR="00156C6B" w:rsidRDefault="00344CEE" w:rsidP="0089679F">
      <w:r w:rsidRPr="00C62A7C">
        <w:t xml:space="preserve">Binnen het VN-ontwikkelingssysteem zal </w:t>
      </w:r>
      <w:r w:rsidR="008438CD" w:rsidRPr="00C62A7C">
        <w:t xml:space="preserve">de bijdrage van </w:t>
      </w:r>
      <w:r w:rsidRPr="00C62A7C">
        <w:t xml:space="preserve">UNCTAD aan het realiseren van de </w:t>
      </w:r>
      <w:r w:rsidR="00D9307A">
        <w:t>SDG</w:t>
      </w:r>
      <w:r w:rsidR="005869DA">
        <w:t>’</w:t>
      </w:r>
      <w:r w:rsidR="00D9307A">
        <w:t>s</w:t>
      </w:r>
      <w:r w:rsidRPr="00C62A7C">
        <w:t xml:space="preserve"> zich richten op </w:t>
      </w:r>
      <w:r w:rsidR="00156C6B" w:rsidRPr="00C62A7C">
        <w:t xml:space="preserve">een aantal welvaart-gerelateerde doelen (8, 9 en 10) en op </w:t>
      </w:r>
      <w:r w:rsidRPr="00C62A7C">
        <w:t xml:space="preserve">Partnerschappen (17). </w:t>
      </w:r>
      <w:r w:rsidR="00487C79" w:rsidRPr="00C62A7C">
        <w:t xml:space="preserve">Door UNCTAD’s </w:t>
      </w:r>
      <w:r w:rsidR="005869DA" w:rsidRPr="00C62A7C">
        <w:t>beleid adviserende</w:t>
      </w:r>
      <w:r w:rsidR="00487C79" w:rsidRPr="00C62A7C">
        <w:t xml:space="preserve"> rol op het snijvlak van handel, investeringen en ontwikkeling is de organisatie goed geplaatst om overheden te adviseren over </w:t>
      </w:r>
      <w:r w:rsidR="00BA2778" w:rsidRPr="00C62A7C">
        <w:t xml:space="preserve">– en ondersteunen bij </w:t>
      </w:r>
      <w:r w:rsidR="004E130B">
        <w:t>–</w:t>
      </w:r>
      <w:r w:rsidR="00BA2778" w:rsidRPr="00C62A7C">
        <w:t xml:space="preserve"> </w:t>
      </w:r>
      <w:r w:rsidR="004E130B">
        <w:t xml:space="preserve">het </w:t>
      </w:r>
      <w:r w:rsidR="00487C79" w:rsidRPr="00C62A7C">
        <w:t xml:space="preserve">mobiliseren van </w:t>
      </w:r>
      <w:r w:rsidR="00A5645A" w:rsidRPr="00C62A7C">
        <w:t xml:space="preserve">publieke en private </w:t>
      </w:r>
      <w:r w:rsidR="00487C79" w:rsidRPr="00C62A7C">
        <w:t xml:space="preserve">middelen om de </w:t>
      </w:r>
      <w:r w:rsidR="00D9307A">
        <w:t>SDG</w:t>
      </w:r>
      <w:r w:rsidR="005869DA">
        <w:t>’</w:t>
      </w:r>
      <w:r w:rsidR="00D9307A">
        <w:t>s</w:t>
      </w:r>
      <w:r w:rsidR="00487C79" w:rsidRPr="00C62A7C">
        <w:t xml:space="preserve"> te behalen.</w:t>
      </w:r>
      <w:r w:rsidR="00487C79">
        <w:t xml:space="preserve"> </w:t>
      </w:r>
      <w:r w:rsidR="0083221A">
        <w:t>De grote waarde die de G77 hecht aan de organisatie draagt bij aan de invloed van de organisatie op het mondiale ontwikkelingsbeleid.</w:t>
      </w:r>
    </w:p>
    <w:p w14:paraId="2849DC2C" w14:textId="77777777" w:rsidR="005869DA" w:rsidRDefault="005869DA" w:rsidP="0089679F"/>
    <w:p w14:paraId="1B08E591" w14:textId="7B2584B4" w:rsidR="00D745A7" w:rsidRDefault="005869DA" w:rsidP="009C4AAC">
      <w:pPr>
        <w:pStyle w:val="Heading2"/>
        <w:numPr>
          <w:ilvl w:val="1"/>
          <w:numId w:val="21"/>
        </w:numPr>
        <w:tabs>
          <w:tab w:val="left" w:pos="-1162"/>
          <w:tab w:val="left" w:pos="0"/>
        </w:tabs>
        <w:spacing w:line="240" w:lineRule="auto"/>
      </w:pPr>
      <w:r>
        <w:t xml:space="preserve"> </w:t>
      </w:r>
      <w:r>
        <w:tab/>
      </w:r>
      <w:bookmarkStart w:id="24" w:name="_Toc491267890"/>
      <w:r w:rsidR="00D745A7">
        <w:t>Organisatie, werkwijze en activiteiten</w:t>
      </w:r>
      <w:bookmarkEnd w:id="24"/>
    </w:p>
    <w:p w14:paraId="3906AC11" w14:textId="31294E11" w:rsidR="00081155" w:rsidRPr="007D3FA2" w:rsidRDefault="00081155" w:rsidP="00081155">
      <w:r w:rsidRPr="007D3FA2">
        <w:t xml:space="preserve">UNCTAD telt </w:t>
      </w:r>
      <w:r w:rsidRPr="004838C3">
        <w:t>194 l</w:t>
      </w:r>
      <w:r w:rsidR="00AF53ED">
        <w:t>idstaten</w:t>
      </w:r>
      <w:r w:rsidRPr="00EA495C">
        <w:t xml:space="preserve"> en is gevestigd in Genève. </w:t>
      </w:r>
      <w:r w:rsidRPr="007D3FA2">
        <w:t>Het hoogste besluitvormingsorgaan is de vierjaarlijkse ministeriële Conferentie, een subsidiair orgaan van de Algemene Vergadering van de Verenigde Naties (AVVN). Hierin stellen de lidstaten het werkplan</w:t>
      </w:r>
      <w:r w:rsidR="00330A54">
        <w:t xml:space="preserve"> van UNCTAD</w:t>
      </w:r>
      <w:r w:rsidRPr="007D3FA2">
        <w:t xml:space="preserve"> vast voor de komende vier jaar. </w:t>
      </w:r>
      <w:r w:rsidR="00EF7082">
        <w:t xml:space="preserve">Hoewel </w:t>
      </w:r>
      <w:r w:rsidRPr="007D3FA2">
        <w:t xml:space="preserve">besluitvorming tijdens de Conferentie plaats </w:t>
      </w:r>
      <w:r w:rsidR="00EF7082">
        <w:t xml:space="preserve">kan vinden </w:t>
      </w:r>
      <w:r>
        <w:t>op basis van</w:t>
      </w:r>
      <w:r w:rsidRPr="007D3FA2">
        <w:t xml:space="preserve"> stemprocedures</w:t>
      </w:r>
      <w:r w:rsidR="00EF7082">
        <w:t xml:space="preserve"> wordt consensus nagestreefd</w:t>
      </w:r>
      <w:r w:rsidRPr="007D3FA2">
        <w:t xml:space="preserve">. </w:t>
      </w:r>
    </w:p>
    <w:p w14:paraId="5003C8D7" w14:textId="77777777" w:rsidR="00081155" w:rsidRPr="008E27B3" w:rsidRDefault="00081155" w:rsidP="00081155">
      <w:pPr>
        <w:rPr>
          <w:color w:val="4F81BD"/>
        </w:rPr>
      </w:pPr>
    </w:p>
    <w:p w14:paraId="3C3CB094" w14:textId="3FD2D002" w:rsidR="00081155" w:rsidRDefault="00081155" w:rsidP="00081155">
      <w:pPr>
        <w:rPr>
          <w:color w:val="4F81BD"/>
        </w:rPr>
      </w:pPr>
      <w:r w:rsidRPr="00EA495C">
        <w:t xml:space="preserve">De </w:t>
      </w:r>
      <w:r w:rsidRPr="00C62A7C">
        <w:rPr>
          <w:i/>
        </w:rPr>
        <w:t>Trade and Development Board</w:t>
      </w:r>
      <w:r w:rsidRPr="00EA495C">
        <w:t xml:space="preserve"> (TDB) is een subsidiair orgaan van de Conferentie en rapporteert aan de AVVN. De TDB is belast met de uitvoering van UNCTAD’s activiteiten in de periodes tussen de vierjaarlijkse sessies. De TDB komt jaarlijks bijeen in een reguliere sessie en houdt daarnaast speciale sessies voor specifieke urgente zaken. De TDB wordt </w:t>
      </w:r>
      <w:r w:rsidR="00557367">
        <w:t>ondersteund</w:t>
      </w:r>
      <w:r w:rsidR="00557367" w:rsidRPr="00EA495C">
        <w:t xml:space="preserve"> </w:t>
      </w:r>
      <w:r w:rsidRPr="00EA495C">
        <w:t>door twee commissies: de Commissie voor Handel en Ontwikkeling en de Commissie voor Investering</w:t>
      </w:r>
      <w:r w:rsidR="00C87A1C">
        <w:t>en</w:t>
      </w:r>
      <w:r w:rsidRPr="00EA495C">
        <w:t xml:space="preserve">, Ondernemen en Ontwikkeling. Deze commissies bieden de leden een platform voor dialoog over </w:t>
      </w:r>
      <w:r w:rsidR="00557367">
        <w:t xml:space="preserve">de vraag </w:t>
      </w:r>
      <w:r w:rsidRPr="00EA495C">
        <w:t xml:space="preserve">hoe handel, investeringen en </w:t>
      </w:r>
      <w:r w:rsidR="00557367">
        <w:t xml:space="preserve">het </w:t>
      </w:r>
      <w:r w:rsidRPr="00EA495C">
        <w:t xml:space="preserve">bedrijfsleven kunnen bijdragen aan duurzame en inclusieve groei. </w:t>
      </w:r>
    </w:p>
    <w:p w14:paraId="7F4EFAC0" w14:textId="77777777" w:rsidR="00081155" w:rsidRPr="008E27B3" w:rsidRDefault="00081155" w:rsidP="00081155">
      <w:pPr>
        <w:rPr>
          <w:color w:val="4F81BD"/>
        </w:rPr>
      </w:pPr>
    </w:p>
    <w:p w14:paraId="13F6818D" w14:textId="086695B1" w:rsidR="00081155" w:rsidRPr="00367D04" w:rsidRDefault="00081155" w:rsidP="00081155">
      <w:r w:rsidRPr="00367D04">
        <w:lastRenderedPageBreak/>
        <w:t xml:space="preserve">De Secretaris-Generaal van UNCTAD (momenteel de Keniaan Mukhisa Kituyi) is verantwoordelijk voor de uitvoering van het mandaat en de beleidsplannen van de Conferentie en de TDB. De organisatie bestaat uit </w:t>
      </w:r>
      <w:r w:rsidR="00E46C04" w:rsidRPr="00E46C04">
        <w:t>489</w:t>
      </w:r>
      <w:r w:rsidRPr="00E46C04">
        <w:t xml:space="preserve"> stafleden</w:t>
      </w:r>
      <w:r w:rsidR="00330A54">
        <w:t>.</w:t>
      </w:r>
      <w:r w:rsidRPr="004D651F">
        <w:t xml:space="preserve"> UNCTAD </w:t>
      </w:r>
      <w:r>
        <w:t xml:space="preserve">heeft </w:t>
      </w:r>
      <w:r w:rsidRPr="004D651F">
        <w:t xml:space="preserve">geen landenkantoren </w:t>
      </w:r>
      <w:r>
        <w:t xml:space="preserve">maar </w:t>
      </w:r>
      <w:r w:rsidRPr="004D651F">
        <w:t xml:space="preserve">wordt </w:t>
      </w:r>
      <w:r>
        <w:t xml:space="preserve">ter plaatse </w:t>
      </w:r>
      <w:r w:rsidRPr="004D651F">
        <w:t>vaa</w:t>
      </w:r>
      <w:r>
        <w:t>k</w:t>
      </w:r>
      <w:r w:rsidRPr="004D651F">
        <w:t xml:space="preserve"> ondersteund door UNDP-landenkantoren</w:t>
      </w:r>
      <w:r>
        <w:t>.</w:t>
      </w:r>
      <w:r w:rsidR="004E130B">
        <w:t xml:space="preserve"> </w:t>
      </w:r>
      <w:r w:rsidR="00330A54">
        <w:t xml:space="preserve">Ook </w:t>
      </w:r>
      <w:r w:rsidR="004E130B">
        <w:t>opende UNCTAD in</w:t>
      </w:r>
      <w:r w:rsidR="00557367">
        <w:t xml:space="preserve"> 2015 een klein regionaal kantoor in Addis Abeba om activiteiten </w:t>
      </w:r>
      <w:r w:rsidR="00522432">
        <w:t>in</w:t>
      </w:r>
      <w:r w:rsidR="00557367">
        <w:t xml:space="preserve"> Afrika te ondersteunen</w:t>
      </w:r>
      <w:r w:rsidR="00E03C18">
        <w:t xml:space="preserve"> en beschikt het over een liaison-kantoor in New York</w:t>
      </w:r>
      <w:r w:rsidR="00557367">
        <w:t>.</w:t>
      </w:r>
    </w:p>
    <w:p w14:paraId="72D4C3FA" w14:textId="77777777" w:rsidR="00081155" w:rsidRPr="008E27B3" w:rsidRDefault="00081155" w:rsidP="00081155">
      <w:pPr>
        <w:rPr>
          <w:color w:val="4F81BD"/>
        </w:rPr>
      </w:pPr>
    </w:p>
    <w:p w14:paraId="676F5224" w14:textId="766F8521" w:rsidR="00081155" w:rsidRDefault="00081155" w:rsidP="00081155">
      <w:r w:rsidRPr="00DF734E">
        <w:t xml:space="preserve">UNCTAD </w:t>
      </w:r>
      <w:r w:rsidR="00497EA2">
        <w:t>voe</w:t>
      </w:r>
      <w:r w:rsidR="00BD3803">
        <w:t>rt</w:t>
      </w:r>
      <w:r w:rsidR="00BD3803" w:rsidRPr="00DF734E">
        <w:t xml:space="preserve"> </w:t>
      </w:r>
      <w:r w:rsidR="00BD3803">
        <w:t>een breed scala aan</w:t>
      </w:r>
      <w:r w:rsidR="00BD3803" w:rsidRPr="00DF734E">
        <w:t xml:space="preserve"> </w:t>
      </w:r>
      <w:r w:rsidRPr="00DF734E">
        <w:t>programma’s</w:t>
      </w:r>
      <w:r w:rsidR="00BD3803">
        <w:t xml:space="preserve"> uit</w:t>
      </w:r>
      <w:r w:rsidRPr="00DF734E">
        <w:t xml:space="preserve"> voor technische ondersteuning van ontwikkelingslanden</w:t>
      </w:r>
      <w:r w:rsidR="00522432">
        <w:t xml:space="preserve">, met </w:t>
      </w:r>
      <w:r>
        <w:t xml:space="preserve">bijzondere aandacht voor de minst ontwikkelde landen. </w:t>
      </w:r>
      <w:r w:rsidR="00333D76">
        <w:t>In 2016 ging o</w:t>
      </w:r>
      <w:r w:rsidRPr="00351B14">
        <w:t xml:space="preserve">ngeveer </w:t>
      </w:r>
      <w:r w:rsidR="004B61FF" w:rsidRPr="006F31F1">
        <w:t>57</w:t>
      </w:r>
      <w:r w:rsidRPr="006F31F1">
        <w:t xml:space="preserve">% van </w:t>
      </w:r>
      <w:r w:rsidR="00BD3803">
        <w:t>het budget van</w:t>
      </w:r>
      <w:r w:rsidR="00BD3803" w:rsidRPr="006F31F1">
        <w:t xml:space="preserve"> </w:t>
      </w:r>
      <w:r w:rsidRPr="006F31F1">
        <w:t>technische assistentie</w:t>
      </w:r>
      <w:r w:rsidRPr="00DF734E">
        <w:t xml:space="preserve"> van UNCTAD</w:t>
      </w:r>
      <w:r w:rsidR="004B61FF">
        <w:t xml:space="preserve"> </w:t>
      </w:r>
      <w:r w:rsidR="006F31F1">
        <w:t>naar twee</w:t>
      </w:r>
      <w:r w:rsidR="00BD3803">
        <w:t xml:space="preserve"> succesvolle </w:t>
      </w:r>
      <w:r w:rsidRPr="00DF734E">
        <w:t>projecten</w:t>
      </w:r>
      <w:r w:rsidR="00BD3803">
        <w:t>, die mede door Nederland zijn opgezet en ondersteund</w:t>
      </w:r>
      <w:r w:rsidRPr="00DF734E">
        <w:t>: DMFAS en ASYCUDA</w:t>
      </w:r>
      <w:r w:rsidR="00330A54">
        <w:t>.</w:t>
      </w:r>
      <w:r w:rsidRPr="00DF734E">
        <w:t xml:space="preserve"> Het </w:t>
      </w:r>
      <w:r w:rsidRPr="00CC5975">
        <w:rPr>
          <w:i/>
        </w:rPr>
        <w:t>Debt Management and Financial Analysis System</w:t>
      </w:r>
      <w:r w:rsidRPr="00DF734E">
        <w:t xml:space="preserve"> (DMFAS) is een instrument dat landen ondersteunt</w:t>
      </w:r>
      <w:r w:rsidR="00A774B7">
        <w:t xml:space="preserve"> </w:t>
      </w:r>
      <w:r w:rsidR="001E28BC">
        <w:t>hun</w:t>
      </w:r>
      <w:r w:rsidR="001E28BC" w:rsidRPr="00DF734E">
        <w:t xml:space="preserve"> </w:t>
      </w:r>
      <w:r w:rsidRPr="00DF734E">
        <w:t xml:space="preserve">schuldenlast te </w:t>
      </w:r>
      <w:r w:rsidR="001E28BC">
        <w:t>monitoren en te beheersen</w:t>
      </w:r>
      <w:r w:rsidRPr="00DF734E">
        <w:t xml:space="preserve">. </w:t>
      </w:r>
      <w:r w:rsidR="004B61FF">
        <w:t>H</w:t>
      </w:r>
      <w:r w:rsidRPr="00DF734E">
        <w:t xml:space="preserve">et </w:t>
      </w:r>
      <w:r w:rsidRPr="00246DF5">
        <w:rPr>
          <w:i/>
        </w:rPr>
        <w:t xml:space="preserve">Automated System for Customs Data </w:t>
      </w:r>
      <w:r w:rsidRPr="00DF734E">
        <w:t>(ASYCUDA)</w:t>
      </w:r>
      <w:r w:rsidR="004B61FF">
        <w:t xml:space="preserve"> </w:t>
      </w:r>
      <w:r w:rsidR="00AB7149">
        <w:t xml:space="preserve">helpt landen bij het digitaliseren, versimpelen en standaardiseren van hun douaneprocedures om inklaringsprocessen te versnellen en </w:t>
      </w:r>
      <w:r w:rsidR="004B61FF">
        <w:t>douane-inkomsten</w:t>
      </w:r>
      <w:r w:rsidR="00AB7149">
        <w:t xml:space="preserve"> te vergroten. </w:t>
      </w:r>
      <w:r w:rsidR="00CF3758">
        <w:t xml:space="preserve">Mede als gevolg van het beleid doellanden in toenemende mate zelf (een deel van) de implementatie van technische ondersteuning te laten financieren, </w:t>
      </w:r>
      <w:r w:rsidR="005A69DB">
        <w:t>komt</w:t>
      </w:r>
      <w:r w:rsidR="00CF3758">
        <w:t xml:space="preserve"> inmiddels meer dan de helft van het extra-budgettaire fonds</w:t>
      </w:r>
      <w:r w:rsidR="005A69DB">
        <w:t xml:space="preserve"> voor hun rekening</w:t>
      </w:r>
      <w:r w:rsidR="00CF3758">
        <w:t xml:space="preserve">. </w:t>
      </w:r>
    </w:p>
    <w:p w14:paraId="42A19B2F" w14:textId="454404BA" w:rsidR="004B61FF" w:rsidRDefault="004B61FF" w:rsidP="00081155"/>
    <w:p w14:paraId="2B4604BB" w14:textId="07EAE93E" w:rsidR="000E45C3" w:rsidRDefault="002342E8" w:rsidP="000E45C3">
      <w:r>
        <w:t xml:space="preserve">Op het terrein van investeringen is </w:t>
      </w:r>
      <w:r w:rsidR="000E45C3" w:rsidRPr="00DF734E">
        <w:t>UNCTAD een belangrijke mondiale speler</w:t>
      </w:r>
      <w:r w:rsidR="000E45C3">
        <w:t xml:space="preserve">. De organisatie heeft een vooraanstaande positie in G20-discussies over investeringen en heeft aan de basis gestaan van de G20 </w:t>
      </w:r>
      <w:r w:rsidR="000E45C3" w:rsidRPr="006F31F1">
        <w:rPr>
          <w:i/>
        </w:rPr>
        <w:t>Guiding Principles for Global Investment Policy Making</w:t>
      </w:r>
      <w:r w:rsidR="00A377DF">
        <w:rPr>
          <w:i/>
        </w:rPr>
        <w:t>.</w:t>
      </w:r>
      <w:r w:rsidR="000E45C3">
        <w:t xml:space="preserve"> </w:t>
      </w:r>
      <w:r w:rsidR="00854039">
        <w:t xml:space="preserve">Ook faciliteert UNCTAD een brede en inclusieve mondiale dialoog over e-commerce en ontwikkeling. </w:t>
      </w:r>
      <w:r w:rsidR="004E66B2" w:rsidRPr="00F20170">
        <w:rPr>
          <w:szCs w:val="18"/>
        </w:rPr>
        <w:t xml:space="preserve">Dit onderwerp is binnen de WTO bijna onbespreekbaar, omdat ontwikkelingslanden </w:t>
      </w:r>
      <w:r w:rsidR="0096045E">
        <w:rPr>
          <w:szCs w:val="18"/>
        </w:rPr>
        <w:t xml:space="preserve">daar </w:t>
      </w:r>
      <w:r w:rsidR="004E66B2" w:rsidRPr="00F20170">
        <w:rPr>
          <w:szCs w:val="18"/>
        </w:rPr>
        <w:t xml:space="preserve">vrezen met bindende </w:t>
      </w:r>
      <w:r w:rsidR="004E66B2">
        <w:rPr>
          <w:szCs w:val="18"/>
        </w:rPr>
        <w:t xml:space="preserve">e-commerce </w:t>
      </w:r>
      <w:r w:rsidR="004E66B2" w:rsidRPr="00F20170">
        <w:rPr>
          <w:szCs w:val="18"/>
        </w:rPr>
        <w:t xml:space="preserve">afspraken </w:t>
      </w:r>
      <w:r w:rsidR="004E66B2">
        <w:rPr>
          <w:szCs w:val="18"/>
        </w:rPr>
        <w:t xml:space="preserve">– zonder een ontwikkelingsplan om een gelijk digitaal speelveld te creëren – aan het kortste eind te zullen trekken. </w:t>
      </w:r>
      <w:r w:rsidR="000E45C3">
        <w:t xml:space="preserve">De rol van UNCTAD bij </w:t>
      </w:r>
      <w:r w:rsidR="000E45C3" w:rsidRPr="00281658">
        <w:rPr>
          <w:i/>
        </w:rPr>
        <w:t>Financing for Development</w:t>
      </w:r>
      <w:r w:rsidR="000E45C3">
        <w:t xml:space="preserve"> tenslotte</w:t>
      </w:r>
      <w:r w:rsidR="00A774B7">
        <w:t>,</w:t>
      </w:r>
      <w:r w:rsidR="000E45C3">
        <w:t xml:space="preserve"> wordt onder meer vormgegeven via onderzoek naar en mobilisatie van investeringen en de nieuw op te zetten </w:t>
      </w:r>
      <w:r w:rsidR="000E45C3" w:rsidRPr="006B4DD9">
        <w:rPr>
          <w:i/>
        </w:rPr>
        <w:t>Intergovernmental Group of Experts on Financing for Development</w:t>
      </w:r>
      <w:r w:rsidR="000E45C3">
        <w:t>.</w:t>
      </w:r>
    </w:p>
    <w:p w14:paraId="383043BD" w14:textId="77777777" w:rsidR="000E45C3" w:rsidRDefault="000E45C3" w:rsidP="000E45C3"/>
    <w:p w14:paraId="34AF26E4" w14:textId="2344C7DD" w:rsidR="00081155" w:rsidRDefault="000E45C3" w:rsidP="00081155">
      <w:r>
        <w:t xml:space="preserve">UNCTAD speelt een breed gewaardeerde </w:t>
      </w:r>
      <w:r w:rsidR="00EF7082">
        <w:t>rol</w:t>
      </w:r>
      <w:r>
        <w:t xml:space="preserve"> als kennisinstituut. De organisatie publiceert jaarlijks het toonaangevende </w:t>
      </w:r>
      <w:r w:rsidRPr="001F0B3E">
        <w:rPr>
          <w:i/>
        </w:rPr>
        <w:t>World Investment Report</w:t>
      </w:r>
      <w:r>
        <w:t xml:space="preserve">. Dit rapport bevat gedegen analyses en genuanceerde inzichten en aanbevelingen over o.a. investeringsakkoorden en investeringsgeschillenbeslechting. Ook worden op landenbasis </w:t>
      </w:r>
      <w:r>
        <w:rPr>
          <w:i/>
        </w:rPr>
        <w:t xml:space="preserve">Investment Policy Reviews </w:t>
      </w:r>
      <w:r>
        <w:t>uitgevoerd, die de knelpunten identificeren en ontwikkelingslanden help</w:t>
      </w:r>
      <w:r w:rsidR="00EF7082">
        <w:t>en</w:t>
      </w:r>
      <w:r>
        <w:t xml:space="preserve"> het ondernemingsklimaat te verbeteren. </w:t>
      </w:r>
      <w:r w:rsidR="004E130B">
        <w:t>Daarnaast bevat h</w:t>
      </w:r>
      <w:r w:rsidRPr="00F11286">
        <w:t xml:space="preserve">et </w:t>
      </w:r>
      <w:r w:rsidRPr="004E130B">
        <w:rPr>
          <w:i/>
        </w:rPr>
        <w:t>Investment Policy Framework for</w:t>
      </w:r>
      <w:r w:rsidR="004E130B" w:rsidRPr="004E130B">
        <w:rPr>
          <w:i/>
        </w:rPr>
        <w:t xml:space="preserve"> Sustainable Development Report</w:t>
      </w:r>
      <w:r w:rsidRPr="00F11286">
        <w:t xml:space="preserve"> informatie om handels- en investeringsakkoorden te moderniseren. </w:t>
      </w:r>
      <w:r w:rsidR="00CF09FF">
        <w:t>UNCTAD’s</w:t>
      </w:r>
      <w:r w:rsidR="00EF7082">
        <w:t xml:space="preserve"> vele </w:t>
      </w:r>
      <w:r>
        <w:t xml:space="preserve">publicaties zijn echter </w:t>
      </w:r>
      <w:r w:rsidR="00EF7082">
        <w:t>niet alle</w:t>
      </w:r>
      <w:r w:rsidR="00A774B7">
        <w:t>maal</w:t>
      </w:r>
      <w:r w:rsidR="00EF7082">
        <w:t xml:space="preserve"> </w:t>
      </w:r>
      <w:r>
        <w:t>van deze hoge kwaliteit; ook ontbreekt nogal eens de coherentie tussen de verschillende publicaties.</w:t>
      </w:r>
      <w:r w:rsidR="00E43FF9">
        <w:t xml:space="preserve"> UNCTAD </w:t>
      </w:r>
      <w:r w:rsidR="00EF7082">
        <w:t>heeft enkele</w:t>
      </w:r>
      <w:r w:rsidR="00E43FF9">
        <w:t xml:space="preserve"> stappen </w:t>
      </w:r>
      <w:r w:rsidR="00EF7082">
        <w:t xml:space="preserve">ondernomen </w:t>
      </w:r>
      <w:r w:rsidR="00E43FF9">
        <w:t xml:space="preserve">om de kwaliteit te waarborgen, onder meer door interne peer-reviews onderdeel te maken van het publicatieproces. </w:t>
      </w:r>
    </w:p>
    <w:p w14:paraId="78ADE3EA" w14:textId="77777777" w:rsidR="005F1893" w:rsidRPr="005F1893" w:rsidRDefault="005F1893" w:rsidP="00081155"/>
    <w:p w14:paraId="5F4C7863" w14:textId="74426999" w:rsidR="00901F70" w:rsidRDefault="00081155" w:rsidP="005F1893">
      <w:r>
        <w:t xml:space="preserve">UNCTAD heeft een tweejaarlijks programma en budget dat aangesloten is bij de </w:t>
      </w:r>
      <w:r w:rsidRPr="00F651B3">
        <w:t xml:space="preserve">VN-cyclus onder de </w:t>
      </w:r>
      <w:r w:rsidRPr="00CC5975">
        <w:rPr>
          <w:i/>
        </w:rPr>
        <w:t>Quadrennial Comprehensive Policy Review</w:t>
      </w:r>
      <w:r>
        <w:t xml:space="preserve"> (</w:t>
      </w:r>
      <w:r w:rsidRPr="00F651B3">
        <w:t>QCPR</w:t>
      </w:r>
      <w:r>
        <w:t>)</w:t>
      </w:r>
      <w:r w:rsidRPr="00F651B3">
        <w:t xml:space="preserve">. </w:t>
      </w:r>
      <w:r w:rsidRPr="001F51D1">
        <w:t xml:space="preserve">Er is echter geen jaarlijkse </w:t>
      </w:r>
      <w:r w:rsidRPr="001F51D1">
        <w:rPr>
          <w:i/>
        </w:rPr>
        <w:t>policy review</w:t>
      </w:r>
      <w:r w:rsidRPr="001F51D1">
        <w:t xml:space="preserve"> van de implementatie van de QCPR die aan de Board gerapporteerd wordt</w:t>
      </w:r>
      <w:r w:rsidRPr="00281658">
        <w:t>.</w:t>
      </w:r>
      <w:r w:rsidR="008B58FA">
        <w:t xml:space="preserve"> UNCTAD is onderdeel van het VN-secretariaat en draagt </w:t>
      </w:r>
      <w:r w:rsidR="00281658">
        <w:t>daarom</w:t>
      </w:r>
      <w:r w:rsidR="008B58FA">
        <w:t xml:space="preserve"> bij aan de financiering van het </w:t>
      </w:r>
      <w:r w:rsidR="008B58FA" w:rsidRPr="008B43DE">
        <w:rPr>
          <w:i/>
        </w:rPr>
        <w:t>R</w:t>
      </w:r>
      <w:r w:rsidR="00ED7466" w:rsidRPr="008B43DE">
        <w:rPr>
          <w:i/>
        </w:rPr>
        <w:t xml:space="preserve">esident </w:t>
      </w:r>
      <w:r w:rsidR="008B58FA" w:rsidRPr="008B43DE">
        <w:rPr>
          <w:i/>
        </w:rPr>
        <w:t>C</w:t>
      </w:r>
      <w:r w:rsidR="00ED7466" w:rsidRPr="008B43DE">
        <w:rPr>
          <w:i/>
        </w:rPr>
        <w:t>oördinator</w:t>
      </w:r>
      <w:r w:rsidR="008B58FA">
        <w:t xml:space="preserve">-systeem. De </w:t>
      </w:r>
      <w:r w:rsidR="00153ACC">
        <w:t xml:space="preserve">afdeling </w:t>
      </w:r>
      <w:r w:rsidR="008B58FA">
        <w:t xml:space="preserve">Technical Cooperation Services van UNCTAD is verantwoordelijk voor coördinatie van UNDAF-activiteiten op landenniveau. UNCTAD is lid van een aantal VN landenteams en tijdens landenmissies vinden standaard coördinatiebijeenkomsten </w:t>
      </w:r>
      <w:r w:rsidR="008B58FA">
        <w:lastRenderedPageBreak/>
        <w:t xml:space="preserve">plaats tussen UNCTAD-staf en VN-vertegenwoordigingen ter plaatse. </w:t>
      </w:r>
      <w:r w:rsidR="00453361">
        <w:t xml:space="preserve">Als coördinerend orgaan van het VN </w:t>
      </w:r>
      <w:r w:rsidR="00453361" w:rsidRPr="006B4DD9">
        <w:rPr>
          <w:i/>
        </w:rPr>
        <w:t>Inter-Agency Cluster on Trade and Productive Capacity</w:t>
      </w:r>
      <w:r w:rsidR="00453361">
        <w:t xml:space="preserve"> heeft UNCTAD op landenniveau een aantal gemeenschappelijke projecten en programma’s geïmplementeerd.</w:t>
      </w:r>
      <w:r w:rsidR="00F123C5">
        <w:t xml:space="preserve"> In het huidige werkplan is </w:t>
      </w:r>
      <w:r w:rsidR="00F123C5" w:rsidRPr="008B43DE">
        <w:rPr>
          <w:i/>
        </w:rPr>
        <w:t>gender mainstreaming</w:t>
      </w:r>
      <w:r w:rsidR="00F123C5">
        <w:t xml:space="preserve"> een vereiste. </w:t>
      </w:r>
    </w:p>
    <w:p w14:paraId="59D33DD2" w14:textId="77777777" w:rsidR="00901F70" w:rsidRDefault="00901F70" w:rsidP="005F1893"/>
    <w:p w14:paraId="5F7FB759" w14:textId="2E7BBDF5" w:rsidR="00CD7B6F" w:rsidRDefault="00EB18B1" w:rsidP="005F1893">
      <w:r>
        <w:t xml:space="preserve">Er is geen </w:t>
      </w:r>
      <w:r w:rsidR="00C61197">
        <w:t>organisatie-</w:t>
      </w:r>
      <w:r>
        <w:t xml:space="preserve">brede evaluatie </w:t>
      </w:r>
      <w:r w:rsidR="00E43FF9">
        <w:t xml:space="preserve">meer uitgevoerd </w:t>
      </w:r>
      <w:r>
        <w:t xml:space="preserve">sinds </w:t>
      </w:r>
      <w:r w:rsidR="00582E3C">
        <w:t>de</w:t>
      </w:r>
      <w:r>
        <w:t xml:space="preserve"> </w:t>
      </w:r>
      <w:r w:rsidR="00582E3C" w:rsidRPr="008B43DE">
        <w:rPr>
          <w:i/>
        </w:rPr>
        <w:t>VN Joint Inspection United</w:t>
      </w:r>
      <w:r w:rsidR="00582E3C">
        <w:t xml:space="preserve"> (</w:t>
      </w:r>
      <w:r>
        <w:t>JIU</w:t>
      </w:r>
      <w:r w:rsidR="00582E3C">
        <w:t>)</w:t>
      </w:r>
      <w:r>
        <w:t xml:space="preserve"> </w:t>
      </w:r>
      <w:r w:rsidR="00582E3C">
        <w:t>in</w:t>
      </w:r>
      <w:r w:rsidR="00C61197">
        <w:t xml:space="preserve"> 2012</w:t>
      </w:r>
      <w:r w:rsidR="00582E3C" w:rsidRPr="00582E3C">
        <w:t xml:space="preserve"> </w:t>
      </w:r>
      <w:r w:rsidR="00582E3C" w:rsidRPr="00705DCD">
        <w:t xml:space="preserve">het </w:t>
      </w:r>
      <w:r w:rsidR="00582E3C" w:rsidRPr="00705DCD">
        <w:rPr>
          <w:i/>
        </w:rPr>
        <w:t>Review of Management and Administration in UNCTAD</w:t>
      </w:r>
      <w:r w:rsidR="00582E3C">
        <w:rPr>
          <w:i/>
        </w:rPr>
        <w:t xml:space="preserve"> </w:t>
      </w:r>
      <w:r w:rsidR="00582E3C">
        <w:t>rapport presenteerde</w:t>
      </w:r>
      <w:r>
        <w:t xml:space="preserve">. </w:t>
      </w:r>
      <w:r w:rsidR="00F3613C">
        <w:t xml:space="preserve">Wel is in 2015 een evaluatie uitgevoerd door het </w:t>
      </w:r>
      <w:r w:rsidR="00F3613C">
        <w:rPr>
          <w:i/>
        </w:rPr>
        <w:t xml:space="preserve">Office of Internal Oversight Services </w:t>
      </w:r>
      <w:r w:rsidR="00F3613C">
        <w:t xml:space="preserve">(OIOS) naar de relevantie, efficiëntie en effectiviteit van UNCTAD. Het management van UNCTAD bevestigt dat inmiddels 6 van de 7 aanbevelingen uit dit OIOS verslag zijn geïmplementeerd. Het OIOS zal de implementatie van deze aanbevelingen door UNCTAD tegen </w:t>
      </w:r>
      <w:r w:rsidR="003A66DF">
        <w:t>eind 2017</w:t>
      </w:r>
      <w:r w:rsidR="00F3613C">
        <w:t xml:space="preserve"> evalueren. </w:t>
      </w:r>
    </w:p>
    <w:p w14:paraId="5C331B59" w14:textId="77777777" w:rsidR="005869DA" w:rsidRPr="005F1893" w:rsidRDefault="005869DA" w:rsidP="005F1893"/>
    <w:p w14:paraId="41A9B596" w14:textId="720ACF9D" w:rsidR="00D745A7" w:rsidRDefault="00D07878" w:rsidP="00F24A31">
      <w:pPr>
        <w:pStyle w:val="Heading2"/>
        <w:tabs>
          <w:tab w:val="left" w:pos="-1162"/>
          <w:tab w:val="left" w:pos="0"/>
          <w:tab w:val="num" w:pos="1160"/>
        </w:tabs>
        <w:spacing w:line="240" w:lineRule="auto"/>
        <w:ind w:hanging="1162"/>
      </w:pPr>
      <w:bookmarkStart w:id="25" w:name="_Toc491267891"/>
      <w:r>
        <w:t>3</w:t>
      </w:r>
      <w:r w:rsidR="00F24A31">
        <w:t xml:space="preserve">.3 </w:t>
      </w:r>
      <w:r w:rsidR="00F24A31">
        <w:tab/>
      </w:r>
      <w:r w:rsidR="00D745A7">
        <w:t xml:space="preserve">Nederlandse </w:t>
      </w:r>
      <w:r w:rsidR="000304C1">
        <w:t>rol en invloed</w:t>
      </w:r>
      <w:bookmarkEnd w:id="25"/>
    </w:p>
    <w:p w14:paraId="197AED3A" w14:textId="7F2249F6" w:rsidR="00B932D0" w:rsidRDefault="00D57030" w:rsidP="00B932D0">
      <w:r>
        <w:t>Nederland is actief betrokken bij</w:t>
      </w:r>
      <w:r w:rsidR="00A377DF">
        <w:t xml:space="preserve"> de</w:t>
      </w:r>
      <w:r>
        <w:t xml:space="preserve"> beleidsvorming binnen UNCTAD en het controleren op de uitvoering daarvan. </w:t>
      </w:r>
      <w:r w:rsidR="00B932D0" w:rsidRPr="006142F7">
        <w:t xml:space="preserve">Het Koninkrijk is een van de 194 leden van de Conferentie en een van de </w:t>
      </w:r>
      <w:r w:rsidR="00B932D0" w:rsidRPr="004838C3">
        <w:t xml:space="preserve">155 leden van de TDB, </w:t>
      </w:r>
      <w:r w:rsidR="00A377DF">
        <w:t xml:space="preserve">waarin het </w:t>
      </w:r>
      <w:r w:rsidR="00B932D0" w:rsidRPr="004838C3">
        <w:t>stemrecht</w:t>
      </w:r>
      <w:r w:rsidR="00A377DF">
        <w:t xml:space="preserve"> heeft</w:t>
      </w:r>
      <w:r w:rsidR="005C4B06">
        <w:t xml:space="preserve"> op basis van het één land, één stem-beginsel</w:t>
      </w:r>
      <w:r w:rsidR="00A377DF">
        <w:t>.</w:t>
      </w:r>
      <w:r w:rsidR="00B932D0" w:rsidRPr="006142F7">
        <w:t xml:space="preserve"> Aan de Conferenties wordt doorgaans op ministerieel of hoog-ambtelijk niveau deelgenomen</w:t>
      </w:r>
      <w:r w:rsidR="00190CA7">
        <w:t xml:space="preserve">: </w:t>
      </w:r>
      <w:r w:rsidR="00CB4B44">
        <w:t xml:space="preserve">zo was </w:t>
      </w:r>
      <w:r w:rsidR="00190CA7">
        <w:t>Minister Ploumen</w:t>
      </w:r>
      <w:r w:rsidR="00CB4B44">
        <w:t xml:space="preserve"> bij de afgelopen Conferentie aanwezig die in 2016 in Nairobi plaatsvond. </w:t>
      </w:r>
      <w:r w:rsidR="00B932D0">
        <w:t xml:space="preserve">Ook het </w:t>
      </w:r>
      <w:r w:rsidR="00B932D0" w:rsidRPr="008B43DE">
        <w:rPr>
          <w:i/>
        </w:rPr>
        <w:t>World Investment Forum</w:t>
      </w:r>
      <w:r w:rsidR="00B932D0">
        <w:t xml:space="preserve"> kan doorgaans op Nederlandse </w:t>
      </w:r>
      <w:r w:rsidR="00714E79">
        <w:t>vertegenwoordiging en inbreng op</w:t>
      </w:r>
      <w:r w:rsidR="00B932D0">
        <w:t xml:space="preserve"> hoog-ambtelijk of ministerieel niveau rekenen</w:t>
      </w:r>
      <w:r w:rsidR="00AB7149">
        <w:t>. Aan de meest recente conferenties nam ook een delegatie uit Curaçao deel.</w:t>
      </w:r>
      <w:r w:rsidR="00B932D0">
        <w:t xml:space="preserve"> </w:t>
      </w:r>
      <w:r w:rsidR="00B932D0" w:rsidRPr="006142F7">
        <w:t>De Permanente Vertegenwoordiging in Genève vertegenwoordigt Nederland in de overige vergaderingen.</w:t>
      </w:r>
      <w:r w:rsidR="006E2F73">
        <w:t xml:space="preserve"> </w:t>
      </w:r>
      <w:r w:rsidR="00CF09FF">
        <w:t xml:space="preserve">Nederland speelt een actieve rol bij het opstellen en uitvoeren van de programmering van technische assistentie door te controleren of UNCTAD zich hierbij aan het mandaat en het werkprogramma houdt. </w:t>
      </w:r>
      <w:r w:rsidR="00A717EC">
        <w:t>In voorbereiding op vergaderingen</w:t>
      </w:r>
      <w:r w:rsidR="006E2F73">
        <w:t xml:space="preserve"> wordt gewoonlijk nauw afgestemd met EU-lidstaten</w:t>
      </w:r>
      <w:r w:rsidR="005F1893">
        <w:t xml:space="preserve">. </w:t>
      </w:r>
      <w:r w:rsidR="00D52AF1">
        <w:t xml:space="preserve">Tevens vindt regelmatig overleg plaats met regionale </w:t>
      </w:r>
      <w:r w:rsidR="0080069E" w:rsidRPr="006B4DD9">
        <w:t>gelijkgezinde</w:t>
      </w:r>
      <w:r w:rsidR="00D52AF1">
        <w:t xml:space="preserve"> </w:t>
      </w:r>
      <w:r w:rsidR="00E36D84">
        <w:t>groepen</w:t>
      </w:r>
      <w:r>
        <w:t>.</w:t>
      </w:r>
      <w:r w:rsidR="005869DA">
        <w:t xml:space="preserve"> </w:t>
      </w:r>
    </w:p>
    <w:p w14:paraId="617C5036" w14:textId="77777777" w:rsidR="005869DA" w:rsidRPr="000766E3" w:rsidRDefault="005869DA" w:rsidP="00B932D0">
      <w:pPr>
        <w:rPr>
          <w:b/>
        </w:rPr>
      </w:pPr>
    </w:p>
    <w:p w14:paraId="37BC578E" w14:textId="6A834517" w:rsidR="00D745A7" w:rsidRDefault="00D07878" w:rsidP="00F24A31">
      <w:pPr>
        <w:pStyle w:val="Heading2"/>
        <w:tabs>
          <w:tab w:val="left" w:pos="-1162"/>
          <w:tab w:val="left" w:pos="0"/>
          <w:tab w:val="num" w:pos="1160"/>
        </w:tabs>
        <w:spacing w:line="240" w:lineRule="auto"/>
        <w:ind w:hanging="1162"/>
      </w:pPr>
      <w:bookmarkStart w:id="26" w:name="_Toc491267892"/>
      <w:r>
        <w:t>3</w:t>
      </w:r>
      <w:r w:rsidR="00F24A31">
        <w:t>.4</w:t>
      </w:r>
      <w:r w:rsidR="00F24A31">
        <w:tab/>
      </w:r>
      <w:r w:rsidR="00D745A7">
        <w:t>Financiële omvang en bijdragen</w:t>
      </w:r>
      <w:bookmarkEnd w:id="26"/>
    </w:p>
    <w:p w14:paraId="3D960984" w14:textId="61D46747" w:rsidR="000E474F" w:rsidRPr="008E27B3" w:rsidRDefault="000E474F" w:rsidP="000E474F">
      <w:pPr>
        <w:rPr>
          <w:color w:val="4F81BD"/>
        </w:rPr>
      </w:pPr>
      <w:r>
        <w:t xml:space="preserve">UNCTAD </w:t>
      </w:r>
      <w:r w:rsidR="0007100D">
        <w:t>werkt met tweejaarlijkse budgetten: voor 2016-2017 bedraagt het</w:t>
      </w:r>
      <w:r>
        <w:t xml:space="preserve"> regulier</w:t>
      </w:r>
      <w:r w:rsidR="0007100D">
        <w:t>e</w:t>
      </w:r>
      <w:r>
        <w:t xml:space="preserve"> budget </w:t>
      </w:r>
      <w:r w:rsidRPr="00953CFA">
        <w:t xml:space="preserve">USD </w:t>
      </w:r>
      <w:r w:rsidR="0007100D" w:rsidRPr="006B4DD9">
        <w:t>138,</w:t>
      </w:r>
      <w:r w:rsidR="002B72C5">
        <w:t>4</w:t>
      </w:r>
      <w:r w:rsidR="0007100D" w:rsidRPr="006B4DD9">
        <w:t xml:space="preserve"> </w:t>
      </w:r>
      <w:r w:rsidRPr="006B4DD9">
        <w:t>miljoen</w:t>
      </w:r>
      <w:r w:rsidRPr="00953CFA">
        <w:t xml:space="preserve"> en</w:t>
      </w:r>
      <w:r w:rsidR="0007100D" w:rsidRPr="00953CFA">
        <w:t xml:space="preserve"> </w:t>
      </w:r>
      <w:r w:rsidR="0007100D" w:rsidRPr="000B1DBD">
        <w:t xml:space="preserve">het </w:t>
      </w:r>
      <w:r w:rsidRPr="000B1DBD">
        <w:t>extra-budgettair</w:t>
      </w:r>
      <w:r w:rsidR="0007100D" w:rsidRPr="00A747CF">
        <w:t>e</w:t>
      </w:r>
      <w:r w:rsidRPr="00A747CF">
        <w:t xml:space="preserve"> fonds voor technische assistentie USD </w:t>
      </w:r>
      <w:r w:rsidR="0007100D" w:rsidRPr="006B4DD9">
        <w:t xml:space="preserve">77,1 </w:t>
      </w:r>
      <w:r w:rsidRPr="006B4DD9">
        <w:t>miljoen</w:t>
      </w:r>
      <w:r w:rsidRPr="00953CFA">
        <w:t>. Het</w:t>
      </w:r>
      <w:r w:rsidRPr="00A73B06">
        <w:t xml:space="preserve"> </w:t>
      </w:r>
      <w:r>
        <w:t xml:space="preserve">reguliere </w:t>
      </w:r>
      <w:r w:rsidRPr="00A73B06">
        <w:t xml:space="preserve">UNCTAD-budget is onderdeel van het budget van het VN-Secretariaat, dat </w:t>
      </w:r>
      <w:r>
        <w:t xml:space="preserve">wordt </w:t>
      </w:r>
      <w:r w:rsidRPr="00A73B06">
        <w:t xml:space="preserve">gefinancierd uit de verplichte contributies van lidstaten. </w:t>
      </w:r>
      <w:r w:rsidRPr="00C3160C">
        <w:t xml:space="preserve">Het aandeel van Nederland voor </w:t>
      </w:r>
      <w:r w:rsidR="00F70569" w:rsidRPr="00C3160C">
        <w:t>2017</w:t>
      </w:r>
      <w:r w:rsidRPr="00C3160C">
        <w:t xml:space="preserve"> is vastgesteld </w:t>
      </w:r>
      <w:r w:rsidR="00F70569" w:rsidRPr="00C3160C">
        <w:t>o</w:t>
      </w:r>
      <w:r w:rsidRPr="00C3160C">
        <w:t xml:space="preserve">p </w:t>
      </w:r>
      <w:r w:rsidR="00F70569" w:rsidRPr="00C3160C">
        <w:t>1,482</w:t>
      </w:r>
      <w:r w:rsidRPr="00C3160C">
        <w:t>%.</w:t>
      </w:r>
    </w:p>
    <w:p w14:paraId="2D15582A" w14:textId="77777777" w:rsidR="0007100D" w:rsidRDefault="0007100D" w:rsidP="000E474F"/>
    <w:p w14:paraId="3FF7D243" w14:textId="3E183131" w:rsidR="000E474F" w:rsidRDefault="000E474F" w:rsidP="000E474F">
      <w:r>
        <w:t xml:space="preserve">Het extra-budgettaire fonds voor technische assistentie wordt gefinancierd uit bijdragen van het </w:t>
      </w:r>
      <w:r w:rsidRPr="008B43DE">
        <w:rPr>
          <w:i/>
        </w:rPr>
        <w:t>United Nations Development Programme</w:t>
      </w:r>
      <w:r w:rsidRPr="00CB2C1E">
        <w:t xml:space="preserve"> (UNDP)</w:t>
      </w:r>
      <w:r>
        <w:t>, het budget van de Verenigde Naties en uit vrijwillige bijdragen van donoren.</w:t>
      </w:r>
      <w:r w:rsidR="002B5BA2">
        <w:t xml:space="preserve"> </w:t>
      </w:r>
      <w:r w:rsidR="0007100D" w:rsidRPr="006B4DD9">
        <w:t xml:space="preserve">Een toenemend deel </w:t>
      </w:r>
      <w:r w:rsidR="00A07C4D" w:rsidRPr="006B4DD9">
        <w:t>van dit fonds</w:t>
      </w:r>
      <w:r w:rsidRPr="006B4DD9">
        <w:t xml:space="preserve"> wordt gefinancierd door ontwikkelingslanden</w:t>
      </w:r>
      <w:r w:rsidR="00A07C4D" w:rsidRPr="006B4DD9">
        <w:t>: in 2015 waren bijdragen van ontwikkelingslanden voor het eerst in 20 jaar hoger dan de bijdragen van bilaterale donoren</w:t>
      </w:r>
      <w:r w:rsidR="005C4B06">
        <w:rPr>
          <w:rStyle w:val="FootnoteReference"/>
        </w:rPr>
        <w:footnoteReference w:id="3"/>
      </w:r>
      <w:r w:rsidR="005C4B06">
        <w:t>.</w:t>
      </w:r>
      <w:r w:rsidRPr="006B4DD9">
        <w:t xml:space="preserve"> </w:t>
      </w:r>
      <w:r>
        <w:t>H</w:t>
      </w:r>
      <w:r w:rsidRPr="008421CC">
        <w:t>et grootste deel van de</w:t>
      </w:r>
      <w:r>
        <w:t>ze</w:t>
      </w:r>
      <w:r w:rsidRPr="008421CC">
        <w:t xml:space="preserve"> bij</w:t>
      </w:r>
      <w:r>
        <w:t>d</w:t>
      </w:r>
      <w:r w:rsidRPr="008421CC">
        <w:t xml:space="preserve">ragen </w:t>
      </w:r>
      <w:r w:rsidR="00A07C4D">
        <w:t>is</w:t>
      </w:r>
      <w:r w:rsidR="00A07C4D" w:rsidRPr="008421CC">
        <w:t xml:space="preserve"> </w:t>
      </w:r>
      <w:r w:rsidRPr="008421CC">
        <w:t>bedoeld voor DMFAS</w:t>
      </w:r>
      <w:r>
        <w:t>-</w:t>
      </w:r>
      <w:r w:rsidRPr="008421CC">
        <w:t xml:space="preserve"> en ASYCUDA-projecten in eigen land.</w:t>
      </w:r>
    </w:p>
    <w:p w14:paraId="214A2EDB" w14:textId="77777777" w:rsidR="000E474F" w:rsidRDefault="000E474F" w:rsidP="000E474F"/>
    <w:p w14:paraId="35F44B38" w14:textId="310F77ED" w:rsidR="000E474F" w:rsidRDefault="000E474F" w:rsidP="000E474F">
      <w:r w:rsidRPr="0069650E">
        <w:rPr>
          <w:rFonts w:eastAsia="Verdana" w:cs="Verdana"/>
          <w:szCs w:val="18"/>
        </w:rPr>
        <w:t>Nederland steun</w:t>
      </w:r>
      <w:r w:rsidR="002B72C5">
        <w:rPr>
          <w:rFonts w:eastAsia="Verdana" w:cs="Verdana"/>
          <w:szCs w:val="18"/>
        </w:rPr>
        <w:t xml:space="preserve">t </w:t>
      </w:r>
      <w:r w:rsidRPr="0069650E">
        <w:rPr>
          <w:rFonts w:eastAsia="Verdana" w:cs="Verdana"/>
          <w:szCs w:val="18"/>
        </w:rPr>
        <w:t xml:space="preserve">DMFAS </w:t>
      </w:r>
      <w:r w:rsidR="00EE39FC" w:rsidRPr="0069650E">
        <w:rPr>
          <w:rFonts w:eastAsia="Verdana" w:cs="Verdana"/>
          <w:szCs w:val="18"/>
        </w:rPr>
        <w:t xml:space="preserve">met een bedrag van USD </w:t>
      </w:r>
      <w:r w:rsidR="002B72C5">
        <w:rPr>
          <w:rFonts w:eastAsia="Verdana" w:cs="Verdana"/>
          <w:szCs w:val="18"/>
        </w:rPr>
        <w:t>1,5 miljoen voor</w:t>
      </w:r>
      <w:r w:rsidR="009631A8">
        <w:rPr>
          <w:rFonts w:eastAsia="Verdana" w:cs="Verdana"/>
          <w:szCs w:val="18"/>
        </w:rPr>
        <w:t xml:space="preserve"> </w:t>
      </w:r>
      <w:r w:rsidR="002B72C5">
        <w:rPr>
          <w:rFonts w:eastAsia="Verdana" w:cs="Verdana"/>
          <w:szCs w:val="18"/>
        </w:rPr>
        <w:t>de periode 2016-18</w:t>
      </w:r>
      <w:r w:rsidRPr="0069650E">
        <w:rPr>
          <w:rFonts w:eastAsia="Verdana" w:cs="Verdana"/>
          <w:szCs w:val="18"/>
        </w:rPr>
        <w:t xml:space="preserve">. Andere donoren zijn Duitsland, Noorwegen, Zwitserland, Ierland en de Europese </w:t>
      </w:r>
      <w:r w:rsidRPr="00953CFA">
        <w:rPr>
          <w:rFonts w:eastAsia="Verdana" w:cs="Verdana"/>
          <w:szCs w:val="18"/>
        </w:rPr>
        <w:t>Commissie</w:t>
      </w:r>
      <w:r w:rsidRPr="006B4DD9">
        <w:rPr>
          <w:rFonts w:eastAsia="Verdana" w:cs="Verdana"/>
          <w:szCs w:val="18"/>
        </w:rPr>
        <w:t>.</w:t>
      </w:r>
      <w:r w:rsidRPr="00953CFA">
        <w:rPr>
          <w:rFonts w:eastAsia="Verdana" w:cs="Verdana"/>
          <w:szCs w:val="18"/>
        </w:rPr>
        <w:t xml:space="preserve"> </w:t>
      </w:r>
      <w:r w:rsidRPr="3C144531">
        <w:rPr>
          <w:rFonts w:eastAsia="Verdana" w:cs="Verdana"/>
          <w:szCs w:val="18"/>
        </w:rPr>
        <w:t xml:space="preserve">DMFAS </w:t>
      </w:r>
      <w:r w:rsidR="00497EA2">
        <w:rPr>
          <w:rFonts w:eastAsia="Verdana" w:cs="Verdana"/>
          <w:szCs w:val="18"/>
        </w:rPr>
        <w:t>w</w:t>
      </w:r>
      <w:r w:rsidRPr="3C144531">
        <w:rPr>
          <w:rFonts w:eastAsia="Verdana" w:cs="Verdana"/>
          <w:szCs w:val="18"/>
        </w:rPr>
        <w:t xml:space="preserve">ordt op dit moment </w:t>
      </w:r>
      <w:r w:rsidR="00EE39FC" w:rsidRPr="0069650E">
        <w:rPr>
          <w:rFonts w:eastAsia="Verdana" w:cs="Verdana"/>
          <w:szCs w:val="18"/>
        </w:rPr>
        <w:t>door 69</w:t>
      </w:r>
      <w:r w:rsidRPr="3C144531">
        <w:rPr>
          <w:rFonts w:eastAsia="Verdana" w:cs="Verdana"/>
          <w:szCs w:val="18"/>
        </w:rPr>
        <w:t xml:space="preserve"> overwegend lage- en middeninkomenslanden gebruikt. </w:t>
      </w:r>
    </w:p>
    <w:p w14:paraId="634DCF5B" w14:textId="405471C7" w:rsidR="00355624" w:rsidRDefault="00CB156F" w:rsidP="005869DA">
      <w:r>
        <w:t xml:space="preserve"> </w:t>
      </w:r>
    </w:p>
    <w:p w14:paraId="151F8DB1" w14:textId="24BC401B" w:rsidR="005150FC" w:rsidRDefault="00BE458E" w:rsidP="005150FC">
      <w:r>
        <w:lastRenderedPageBreak/>
        <w:t xml:space="preserve">Financieel Overzicht </w:t>
      </w:r>
      <w:r w:rsidR="005150FC">
        <w:t>(bedragen in USD miljoen)</w:t>
      </w:r>
    </w:p>
    <w:p w14:paraId="64F4189C" w14:textId="77777777" w:rsidR="005869DA" w:rsidRDefault="005869DA"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01"/>
        <w:gridCol w:w="1120"/>
        <w:gridCol w:w="1494"/>
        <w:gridCol w:w="1862"/>
        <w:gridCol w:w="1139"/>
        <w:gridCol w:w="1281"/>
      </w:tblGrid>
      <w:tr w:rsidR="005150FC" w14:paraId="2C93D2C7" w14:textId="77777777" w:rsidTr="004706A9">
        <w:tc>
          <w:tcPr>
            <w:tcW w:w="640" w:type="pct"/>
            <w:tcBorders>
              <w:top w:val="single" w:sz="12" w:space="0" w:color="auto"/>
              <w:bottom w:val="single" w:sz="6" w:space="0" w:color="auto"/>
            </w:tcBorders>
            <w:shd w:val="clear" w:color="auto" w:fill="D9D9D9" w:themeFill="background1" w:themeFillShade="D9"/>
          </w:tcPr>
          <w:p w14:paraId="768B8AE7" w14:textId="77777777" w:rsidR="005150FC" w:rsidRDefault="005150FC" w:rsidP="005150FC"/>
        </w:tc>
        <w:tc>
          <w:tcPr>
            <w:tcW w:w="3577" w:type="pct"/>
            <w:gridSpan w:val="4"/>
            <w:tcBorders>
              <w:top w:val="single" w:sz="12" w:space="0" w:color="auto"/>
              <w:bottom w:val="single" w:sz="6" w:space="0" w:color="auto"/>
            </w:tcBorders>
            <w:shd w:val="clear" w:color="auto" w:fill="D9D9D9" w:themeFill="background1" w:themeFillShade="D9"/>
            <w:hideMark/>
          </w:tcPr>
          <w:p w14:paraId="625CA452" w14:textId="17319B4C" w:rsidR="005150FC" w:rsidRDefault="005150FC" w:rsidP="00B97F73">
            <w:pPr>
              <w:rPr>
                <w:b/>
              </w:rPr>
            </w:pPr>
            <w:r>
              <w:rPr>
                <w:b/>
              </w:rPr>
              <w:t>Inkomsten</w:t>
            </w:r>
          </w:p>
        </w:tc>
        <w:tc>
          <w:tcPr>
            <w:tcW w:w="783" w:type="pct"/>
            <w:tcBorders>
              <w:top w:val="single" w:sz="12" w:space="0" w:color="auto"/>
              <w:bottom w:val="single" w:sz="6" w:space="0" w:color="auto"/>
            </w:tcBorders>
            <w:shd w:val="clear" w:color="auto" w:fill="D9D9D9" w:themeFill="background1" w:themeFillShade="D9"/>
            <w:hideMark/>
          </w:tcPr>
          <w:p w14:paraId="1718C6EB" w14:textId="0630D763" w:rsidR="005150FC" w:rsidRDefault="005150FC" w:rsidP="00B97F73">
            <w:pPr>
              <w:rPr>
                <w:b/>
              </w:rPr>
            </w:pPr>
            <w:r>
              <w:rPr>
                <w:b/>
              </w:rPr>
              <w:t>Uitgaven</w:t>
            </w:r>
          </w:p>
        </w:tc>
      </w:tr>
      <w:tr w:rsidR="005150FC" w14:paraId="499FB8ED" w14:textId="77777777" w:rsidTr="004706A9">
        <w:trPr>
          <w:trHeight w:val="208"/>
        </w:trPr>
        <w:tc>
          <w:tcPr>
            <w:tcW w:w="640" w:type="pct"/>
            <w:tcBorders>
              <w:top w:val="single" w:sz="6" w:space="0" w:color="auto"/>
              <w:bottom w:val="nil"/>
            </w:tcBorders>
            <w:shd w:val="clear" w:color="auto" w:fill="D9D9D9" w:themeFill="background1" w:themeFillShade="D9"/>
            <w:hideMark/>
          </w:tcPr>
          <w:p w14:paraId="3E09F8FB" w14:textId="77777777" w:rsidR="005150FC" w:rsidRDefault="0059680A" w:rsidP="005150FC">
            <w:pPr>
              <w:rPr>
                <w:i/>
              </w:rPr>
            </w:pPr>
            <w:r>
              <w:rPr>
                <w:i/>
              </w:rPr>
              <w:t>Jaar</w:t>
            </w:r>
          </w:p>
        </w:tc>
        <w:tc>
          <w:tcPr>
            <w:tcW w:w="461" w:type="pct"/>
            <w:tcBorders>
              <w:top w:val="single" w:sz="6" w:space="0" w:color="auto"/>
              <w:bottom w:val="nil"/>
            </w:tcBorders>
            <w:shd w:val="clear" w:color="auto" w:fill="D9D9D9" w:themeFill="background1" w:themeFillShade="D9"/>
            <w:hideMark/>
          </w:tcPr>
          <w:p w14:paraId="1FA1831C" w14:textId="77777777" w:rsidR="005150FC" w:rsidRDefault="005150FC" w:rsidP="005150FC">
            <w:pPr>
              <w:rPr>
                <w:i/>
              </w:rPr>
            </w:pPr>
            <w:r>
              <w:rPr>
                <w:i/>
              </w:rPr>
              <w:t>Verplichte</w:t>
            </w:r>
          </w:p>
        </w:tc>
        <w:tc>
          <w:tcPr>
            <w:tcW w:w="2419" w:type="pct"/>
            <w:gridSpan w:val="2"/>
            <w:tcBorders>
              <w:top w:val="single" w:sz="6" w:space="0" w:color="auto"/>
              <w:bottom w:val="single" w:sz="6" w:space="0" w:color="auto"/>
            </w:tcBorders>
            <w:shd w:val="clear" w:color="auto" w:fill="D9D9D9" w:themeFill="background1" w:themeFillShade="D9"/>
            <w:hideMark/>
          </w:tcPr>
          <w:p w14:paraId="122F9F6B" w14:textId="77777777" w:rsidR="005150FC" w:rsidRDefault="005150FC" w:rsidP="005150FC">
            <w:pPr>
              <w:jc w:val="center"/>
              <w:rPr>
                <w:i/>
              </w:rPr>
            </w:pPr>
            <w:r>
              <w:rPr>
                <w:i/>
              </w:rPr>
              <w:t>Vrijwillige bijdragen</w:t>
            </w:r>
          </w:p>
        </w:tc>
        <w:tc>
          <w:tcPr>
            <w:tcW w:w="697" w:type="pct"/>
            <w:tcBorders>
              <w:top w:val="single" w:sz="6" w:space="0" w:color="auto"/>
              <w:bottom w:val="nil"/>
            </w:tcBorders>
            <w:shd w:val="clear" w:color="auto" w:fill="D9D9D9" w:themeFill="background1" w:themeFillShade="D9"/>
            <w:hideMark/>
          </w:tcPr>
          <w:p w14:paraId="480381F8" w14:textId="77777777" w:rsidR="005150FC" w:rsidRDefault="005150FC" w:rsidP="005150FC">
            <w:pPr>
              <w:jc w:val="right"/>
              <w:rPr>
                <w:i/>
              </w:rPr>
            </w:pPr>
            <w:r>
              <w:rPr>
                <w:i/>
              </w:rPr>
              <w:t>Totaal</w:t>
            </w:r>
          </w:p>
        </w:tc>
        <w:tc>
          <w:tcPr>
            <w:tcW w:w="783" w:type="pct"/>
            <w:tcBorders>
              <w:top w:val="single" w:sz="6" w:space="0" w:color="auto"/>
              <w:bottom w:val="nil"/>
            </w:tcBorders>
            <w:shd w:val="clear" w:color="auto" w:fill="D9D9D9" w:themeFill="background1" w:themeFillShade="D9"/>
            <w:hideMark/>
          </w:tcPr>
          <w:p w14:paraId="499DE67A" w14:textId="77777777" w:rsidR="005150FC" w:rsidRDefault="005150FC" w:rsidP="005150FC">
            <w:pPr>
              <w:jc w:val="right"/>
              <w:rPr>
                <w:i/>
              </w:rPr>
            </w:pPr>
            <w:r>
              <w:rPr>
                <w:i/>
              </w:rPr>
              <w:t>Totaal</w:t>
            </w:r>
          </w:p>
        </w:tc>
      </w:tr>
      <w:tr w:rsidR="005150FC" w14:paraId="1F132FA5" w14:textId="77777777" w:rsidTr="004706A9">
        <w:trPr>
          <w:trHeight w:val="87"/>
        </w:trPr>
        <w:tc>
          <w:tcPr>
            <w:tcW w:w="640" w:type="pct"/>
            <w:tcBorders>
              <w:top w:val="nil"/>
              <w:bottom w:val="single" w:sz="12" w:space="0" w:color="auto"/>
            </w:tcBorders>
            <w:shd w:val="clear" w:color="auto" w:fill="D9D9D9" w:themeFill="background1" w:themeFillShade="D9"/>
            <w:hideMark/>
          </w:tcPr>
          <w:p w14:paraId="0F863770" w14:textId="77777777" w:rsidR="005150FC" w:rsidRDefault="005150FC" w:rsidP="005150FC">
            <w:pPr>
              <w:rPr>
                <w:i/>
              </w:rPr>
            </w:pPr>
          </w:p>
        </w:tc>
        <w:tc>
          <w:tcPr>
            <w:tcW w:w="461" w:type="pct"/>
            <w:tcBorders>
              <w:top w:val="nil"/>
              <w:bottom w:val="single" w:sz="12" w:space="0" w:color="auto"/>
            </w:tcBorders>
            <w:shd w:val="clear" w:color="auto" w:fill="D9D9D9" w:themeFill="background1" w:themeFillShade="D9"/>
            <w:hideMark/>
          </w:tcPr>
          <w:p w14:paraId="2B098746" w14:textId="77777777" w:rsidR="005150FC" w:rsidRDefault="005150FC" w:rsidP="005150FC">
            <w:pPr>
              <w:rPr>
                <w:i/>
              </w:rPr>
            </w:pPr>
            <w:r>
              <w:rPr>
                <w:i/>
              </w:rPr>
              <w:t>bijdragen</w:t>
            </w:r>
          </w:p>
        </w:tc>
        <w:tc>
          <w:tcPr>
            <w:tcW w:w="1090" w:type="pct"/>
            <w:tcBorders>
              <w:top w:val="nil"/>
              <w:bottom w:val="single" w:sz="12" w:space="0" w:color="auto"/>
            </w:tcBorders>
            <w:shd w:val="clear" w:color="auto" w:fill="D9D9D9" w:themeFill="background1" w:themeFillShade="D9"/>
            <w:hideMark/>
          </w:tcPr>
          <w:p w14:paraId="27975C20" w14:textId="5716B90A" w:rsidR="005150FC" w:rsidRDefault="00A377DF" w:rsidP="00A377DF">
            <w:pPr>
              <w:rPr>
                <w:i/>
              </w:rPr>
            </w:pPr>
            <w:r>
              <w:rPr>
                <w:i/>
              </w:rPr>
              <w:t>Core</w:t>
            </w:r>
            <w:r>
              <w:rPr>
                <w:rStyle w:val="FootnoteReference"/>
                <w:i/>
              </w:rPr>
              <w:footnoteReference w:id="4"/>
            </w:r>
          </w:p>
        </w:tc>
        <w:tc>
          <w:tcPr>
            <w:tcW w:w="1329" w:type="pct"/>
            <w:tcBorders>
              <w:top w:val="nil"/>
              <w:bottom w:val="single" w:sz="12" w:space="0" w:color="auto"/>
            </w:tcBorders>
            <w:shd w:val="clear" w:color="auto" w:fill="D9D9D9" w:themeFill="background1" w:themeFillShade="D9"/>
            <w:hideMark/>
          </w:tcPr>
          <w:p w14:paraId="74B60D57" w14:textId="1043F4C6" w:rsidR="005150FC" w:rsidRDefault="00A377DF" w:rsidP="005150FC">
            <w:pPr>
              <w:rPr>
                <w:i/>
              </w:rPr>
            </w:pPr>
            <w:r>
              <w:rPr>
                <w:i/>
              </w:rPr>
              <w:t>Non core</w:t>
            </w:r>
            <w:r w:rsidR="007B7BB5">
              <w:rPr>
                <w:i/>
              </w:rPr>
              <w:t>*</w:t>
            </w:r>
          </w:p>
        </w:tc>
        <w:tc>
          <w:tcPr>
            <w:tcW w:w="697" w:type="pct"/>
            <w:tcBorders>
              <w:top w:val="nil"/>
              <w:bottom w:val="single" w:sz="12" w:space="0" w:color="auto"/>
            </w:tcBorders>
            <w:shd w:val="clear" w:color="auto" w:fill="D9D9D9" w:themeFill="background1" w:themeFillShade="D9"/>
          </w:tcPr>
          <w:p w14:paraId="072ABB05" w14:textId="77777777" w:rsidR="005150FC" w:rsidRDefault="005150FC" w:rsidP="005150FC">
            <w:pPr>
              <w:rPr>
                <w:i/>
              </w:rPr>
            </w:pPr>
          </w:p>
        </w:tc>
        <w:tc>
          <w:tcPr>
            <w:tcW w:w="783" w:type="pct"/>
            <w:tcBorders>
              <w:top w:val="nil"/>
              <w:bottom w:val="single" w:sz="12" w:space="0" w:color="auto"/>
            </w:tcBorders>
            <w:shd w:val="clear" w:color="auto" w:fill="D9D9D9" w:themeFill="background1" w:themeFillShade="D9"/>
          </w:tcPr>
          <w:p w14:paraId="0D555E66" w14:textId="77777777" w:rsidR="005150FC" w:rsidRDefault="005150FC" w:rsidP="005150FC">
            <w:pPr>
              <w:rPr>
                <w:i/>
              </w:rPr>
            </w:pPr>
          </w:p>
        </w:tc>
      </w:tr>
      <w:tr w:rsidR="005150FC" w14:paraId="066E03E4" w14:textId="77777777" w:rsidTr="005869DA">
        <w:tc>
          <w:tcPr>
            <w:tcW w:w="640" w:type="pct"/>
            <w:tcBorders>
              <w:top w:val="single" w:sz="12" w:space="0" w:color="auto"/>
            </w:tcBorders>
            <w:hideMark/>
          </w:tcPr>
          <w:p w14:paraId="3E179672" w14:textId="77777777" w:rsidR="005150FC" w:rsidRDefault="003A1E73" w:rsidP="005150FC">
            <w:r>
              <w:t>201</w:t>
            </w:r>
            <w:r w:rsidR="00D85213">
              <w:t>4</w:t>
            </w:r>
          </w:p>
        </w:tc>
        <w:tc>
          <w:tcPr>
            <w:tcW w:w="461" w:type="pct"/>
            <w:tcBorders>
              <w:top w:val="single" w:sz="12" w:space="0" w:color="auto"/>
            </w:tcBorders>
          </w:tcPr>
          <w:p w14:paraId="29F37486" w14:textId="5CF21986" w:rsidR="005150FC" w:rsidRDefault="00302FBE" w:rsidP="005150FC">
            <w:pPr>
              <w:tabs>
                <w:tab w:val="decimal" w:pos="674"/>
              </w:tabs>
            </w:pPr>
            <w:r>
              <w:t>72,3</w:t>
            </w:r>
          </w:p>
        </w:tc>
        <w:tc>
          <w:tcPr>
            <w:tcW w:w="1090" w:type="pct"/>
            <w:tcBorders>
              <w:top w:val="single" w:sz="12" w:space="0" w:color="auto"/>
            </w:tcBorders>
          </w:tcPr>
          <w:p w14:paraId="7BC9FBBD" w14:textId="7959F0E3" w:rsidR="005150FC" w:rsidRPr="00A377DF" w:rsidRDefault="00163B1F" w:rsidP="008B2CA5">
            <w:pPr>
              <w:tabs>
                <w:tab w:val="decimal" w:pos="780"/>
              </w:tabs>
              <w:jc w:val="right"/>
              <w:rPr>
                <w:szCs w:val="18"/>
              </w:rPr>
            </w:pPr>
            <w:r w:rsidRPr="008B43DE">
              <w:rPr>
                <w:rFonts w:cs="HelveticaNeueLTStd-BdCn"/>
                <w:szCs w:val="18"/>
                <w:lang w:eastAsia="ja-JP"/>
              </w:rPr>
              <w:t>39,4</w:t>
            </w:r>
          </w:p>
        </w:tc>
        <w:tc>
          <w:tcPr>
            <w:tcW w:w="1329" w:type="pct"/>
            <w:tcBorders>
              <w:top w:val="single" w:sz="12" w:space="0" w:color="auto"/>
            </w:tcBorders>
          </w:tcPr>
          <w:p w14:paraId="0ECB714F" w14:textId="288B4EB9" w:rsidR="005150FC" w:rsidRDefault="007B7BB5" w:rsidP="007B7BB5">
            <w:pPr>
              <w:tabs>
                <w:tab w:val="decimal" w:pos="887"/>
              </w:tabs>
              <w:jc w:val="both"/>
            </w:pPr>
            <w:r>
              <w:t xml:space="preserve"> </w:t>
            </w:r>
          </w:p>
        </w:tc>
        <w:tc>
          <w:tcPr>
            <w:tcW w:w="697" w:type="pct"/>
            <w:tcBorders>
              <w:top w:val="single" w:sz="12" w:space="0" w:color="auto"/>
            </w:tcBorders>
          </w:tcPr>
          <w:p w14:paraId="2DC689B0" w14:textId="0E5147BA" w:rsidR="005150FC" w:rsidRDefault="00302FBE" w:rsidP="00ED7120">
            <w:pPr>
              <w:tabs>
                <w:tab w:val="decimal" w:pos="743"/>
              </w:tabs>
              <w:jc w:val="right"/>
            </w:pPr>
            <w:r>
              <w:t>111,7</w:t>
            </w:r>
          </w:p>
        </w:tc>
        <w:tc>
          <w:tcPr>
            <w:tcW w:w="783" w:type="pct"/>
            <w:tcBorders>
              <w:top w:val="single" w:sz="12" w:space="0" w:color="auto"/>
            </w:tcBorders>
          </w:tcPr>
          <w:p w14:paraId="349D024D" w14:textId="4C339F45" w:rsidR="005150FC" w:rsidRDefault="003B0ADA" w:rsidP="00ED7120">
            <w:pPr>
              <w:tabs>
                <w:tab w:val="decimal" w:pos="885"/>
              </w:tabs>
              <w:jc w:val="right"/>
            </w:pPr>
            <w:r>
              <w:t>111,7</w:t>
            </w:r>
          </w:p>
        </w:tc>
      </w:tr>
      <w:tr w:rsidR="005150FC" w14:paraId="2794B87B" w14:textId="77777777" w:rsidTr="005869DA">
        <w:tc>
          <w:tcPr>
            <w:tcW w:w="640" w:type="pct"/>
            <w:hideMark/>
          </w:tcPr>
          <w:p w14:paraId="4597F2FB" w14:textId="77777777" w:rsidR="005150FC" w:rsidRDefault="003A1E73" w:rsidP="005150FC">
            <w:r>
              <w:t>201</w:t>
            </w:r>
            <w:r w:rsidR="00D85213">
              <w:t>5</w:t>
            </w:r>
          </w:p>
        </w:tc>
        <w:tc>
          <w:tcPr>
            <w:tcW w:w="461" w:type="pct"/>
          </w:tcPr>
          <w:p w14:paraId="71516704" w14:textId="74205639" w:rsidR="005150FC" w:rsidRDefault="00302FBE" w:rsidP="005150FC">
            <w:pPr>
              <w:tabs>
                <w:tab w:val="decimal" w:pos="674"/>
              </w:tabs>
            </w:pPr>
            <w:r>
              <w:t>72,3</w:t>
            </w:r>
          </w:p>
        </w:tc>
        <w:tc>
          <w:tcPr>
            <w:tcW w:w="1090" w:type="pct"/>
          </w:tcPr>
          <w:p w14:paraId="5AE9EA81" w14:textId="740892DC" w:rsidR="005150FC" w:rsidRPr="00A377DF" w:rsidRDefault="00163B1F" w:rsidP="00ED7120">
            <w:pPr>
              <w:tabs>
                <w:tab w:val="decimal" w:pos="780"/>
              </w:tabs>
              <w:jc w:val="right"/>
              <w:rPr>
                <w:szCs w:val="18"/>
              </w:rPr>
            </w:pPr>
            <w:r w:rsidRPr="008B43DE">
              <w:rPr>
                <w:rFonts w:cs="HelveticaNeueLTStd-BdCn"/>
                <w:szCs w:val="18"/>
                <w:lang w:eastAsia="ja-JP"/>
              </w:rPr>
              <w:t>34,7</w:t>
            </w:r>
          </w:p>
        </w:tc>
        <w:tc>
          <w:tcPr>
            <w:tcW w:w="1329" w:type="pct"/>
          </w:tcPr>
          <w:p w14:paraId="5AD63FFD" w14:textId="2A10CD94" w:rsidR="005150FC" w:rsidRDefault="005150FC" w:rsidP="007B7BB5">
            <w:pPr>
              <w:tabs>
                <w:tab w:val="decimal" w:pos="887"/>
              </w:tabs>
              <w:jc w:val="both"/>
            </w:pPr>
          </w:p>
        </w:tc>
        <w:tc>
          <w:tcPr>
            <w:tcW w:w="697" w:type="pct"/>
          </w:tcPr>
          <w:p w14:paraId="6861A0AE" w14:textId="3E7D0DD0" w:rsidR="005150FC" w:rsidRDefault="00302FBE" w:rsidP="00ED7120">
            <w:pPr>
              <w:tabs>
                <w:tab w:val="decimal" w:pos="743"/>
              </w:tabs>
              <w:jc w:val="right"/>
            </w:pPr>
            <w:r>
              <w:t>107</w:t>
            </w:r>
            <w:r w:rsidR="007B7BB5">
              <w:t>,0</w:t>
            </w:r>
          </w:p>
        </w:tc>
        <w:tc>
          <w:tcPr>
            <w:tcW w:w="783" w:type="pct"/>
          </w:tcPr>
          <w:p w14:paraId="045E0FE7" w14:textId="001A7184" w:rsidR="005150FC" w:rsidRDefault="003B0ADA" w:rsidP="00ED7120">
            <w:pPr>
              <w:tabs>
                <w:tab w:val="decimal" w:pos="885"/>
              </w:tabs>
              <w:jc w:val="right"/>
            </w:pPr>
            <w:r>
              <w:t>107</w:t>
            </w:r>
            <w:r w:rsidR="007B7BB5">
              <w:t>,0</w:t>
            </w:r>
          </w:p>
        </w:tc>
      </w:tr>
      <w:tr w:rsidR="005150FC" w14:paraId="42830E11" w14:textId="77777777" w:rsidTr="005869DA">
        <w:tc>
          <w:tcPr>
            <w:tcW w:w="640" w:type="pct"/>
          </w:tcPr>
          <w:p w14:paraId="0F761CEE" w14:textId="77777777" w:rsidR="005150FC" w:rsidRDefault="003A1E73" w:rsidP="005150FC">
            <w:r>
              <w:t>201</w:t>
            </w:r>
            <w:r w:rsidR="00D85213">
              <w:t>6</w:t>
            </w:r>
          </w:p>
        </w:tc>
        <w:tc>
          <w:tcPr>
            <w:tcW w:w="461" w:type="pct"/>
          </w:tcPr>
          <w:p w14:paraId="41408C8F" w14:textId="32C711B2" w:rsidR="005150FC" w:rsidRDefault="00302FBE" w:rsidP="005150FC">
            <w:pPr>
              <w:tabs>
                <w:tab w:val="decimal" w:pos="674"/>
              </w:tabs>
            </w:pPr>
            <w:r>
              <w:t>69,2</w:t>
            </w:r>
          </w:p>
        </w:tc>
        <w:tc>
          <w:tcPr>
            <w:tcW w:w="1090" w:type="pct"/>
          </w:tcPr>
          <w:p w14:paraId="645D2955" w14:textId="5E3822F3" w:rsidR="005150FC" w:rsidRPr="003C534B" w:rsidRDefault="002B72C5" w:rsidP="002E1EB1">
            <w:pPr>
              <w:tabs>
                <w:tab w:val="decimal" w:pos="780"/>
              </w:tabs>
              <w:jc w:val="right"/>
            </w:pPr>
            <w:r w:rsidRPr="008B2CA5">
              <w:t>41,4</w:t>
            </w:r>
            <w:r w:rsidR="002E1EB1">
              <w:rPr>
                <w:rStyle w:val="FootnoteReference"/>
              </w:rPr>
              <w:footnoteReference w:id="5"/>
            </w:r>
          </w:p>
        </w:tc>
        <w:tc>
          <w:tcPr>
            <w:tcW w:w="1329" w:type="pct"/>
          </w:tcPr>
          <w:p w14:paraId="6507847C" w14:textId="7CD957E1" w:rsidR="005150FC" w:rsidRDefault="005150FC" w:rsidP="007B7BB5">
            <w:pPr>
              <w:jc w:val="both"/>
            </w:pPr>
          </w:p>
        </w:tc>
        <w:tc>
          <w:tcPr>
            <w:tcW w:w="697" w:type="pct"/>
          </w:tcPr>
          <w:p w14:paraId="6C726462" w14:textId="567D12D8" w:rsidR="005150FC" w:rsidRDefault="002B72C5" w:rsidP="00ED7120">
            <w:pPr>
              <w:jc w:val="right"/>
            </w:pPr>
            <w:r>
              <w:t>110,6</w:t>
            </w:r>
          </w:p>
        </w:tc>
        <w:tc>
          <w:tcPr>
            <w:tcW w:w="783" w:type="pct"/>
          </w:tcPr>
          <w:p w14:paraId="7B81ED8C" w14:textId="308684CB" w:rsidR="005150FC" w:rsidRDefault="002B72C5" w:rsidP="00ED7120">
            <w:pPr>
              <w:tabs>
                <w:tab w:val="decimal" w:pos="885"/>
              </w:tabs>
              <w:jc w:val="right"/>
            </w:pPr>
            <w:r>
              <w:t>110,6</w:t>
            </w:r>
          </w:p>
        </w:tc>
      </w:tr>
    </w:tbl>
    <w:p w14:paraId="60107906" w14:textId="2B10ADC7" w:rsidR="005150FC" w:rsidRDefault="005150FC" w:rsidP="005150FC"/>
    <w:p w14:paraId="693068D5" w14:textId="3437BBE3" w:rsidR="007B7BB5" w:rsidRDefault="007B7BB5" w:rsidP="005150FC">
      <w:r>
        <w:t>* Ongeoormerkte financiering is niet van toepassing.</w:t>
      </w:r>
    </w:p>
    <w:p w14:paraId="592FC49C" w14:textId="77777777" w:rsidR="007B7BB5" w:rsidRDefault="007B7BB5" w:rsidP="005150FC"/>
    <w:p w14:paraId="5B8746D0" w14:textId="5CA60C3D" w:rsidR="005869DA" w:rsidRDefault="005150FC" w:rsidP="005150FC">
      <w:r w:rsidRPr="004D372F">
        <w:t>Overzicht bijdragen en ranking grootste donoren</w:t>
      </w:r>
      <w:r w:rsidR="005869DA">
        <w:t xml:space="preserve"> </w:t>
      </w:r>
      <w:r>
        <w:t>(bedragen in USD miljoen)</w:t>
      </w:r>
    </w:p>
    <w:p w14:paraId="4DC1B175" w14:textId="77777777" w:rsidR="005150FC" w:rsidRDefault="005150FC"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90"/>
        <w:gridCol w:w="1974"/>
        <w:gridCol w:w="2980"/>
        <w:gridCol w:w="1953"/>
      </w:tblGrid>
      <w:tr w:rsidR="005150FC" w14:paraId="214F12E2" w14:textId="77777777" w:rsidTr="005376BB">
        <w:tc>
          <w:tcPr>
            <w:tcW w:w="513" w:type="pct"/>
            <w:hideMark/>
          </w:tcPr>
          <w:p w14:paraId="1AC1B929" w14:textId="77777777" w:rsidR="005150FC" w:rsidRPr="00A13499" w:rsidRDefault="005150FC" w:rsidP="005150FC">
            <w:pPr>
              <w:rPr>
                <w:b/>
              </w:rPr>
            </w:pPr>
            <w:r w:rsidRPr="00A13499">
              <w:rPr>
                <w:b/>
              </w:rPr>
              <w:t>Jaar</w:t>
            </w:r>
          </w:p>
        </w:tc>
        <w:tc>
          <w:tcPr>
            <w:tcW w:w="1282" w:type="pct"/>
            <w:hideMark/>
          </w:tcPr>
          <w:p w14:paraId="14E923B4" w14:textId="77777777" w:rsidR="005150FC" w:rsidRPr="00A13499" w:rsidRDefault="005150FC" w:rsidP="005150FC">
            <w:pPr>
              <w:rPr>
                <w:b/>
              </w:rPr>
            </w:pPr>
            <w:r w:rsidRPr="00A13499">
              <w:rPr>
                <w:b/>
              </w:rPr>
              <w:t>Bijdrage</w:t>
            </w:r>
          </w:p>
        </w:tc>
        <w:tc>
          <w:tcPr>
            <w:tcW w:w="1936" w:type="pct"/>
            <w:hideMark/>
          </w:tcPr>
          <w:p w14:paraId="4F0B60A5" w14:textId="77777777" w:rsidR="005150FC" w:rsidRPr="00A13499" w:rsidRDefault="005150FC" w:rsidP="005150FC">
            <w:pPr>
              <w:rPr>
                <w:b/>
              </w:rPr>
            </w:pPr>
            <w:r w:rsidRPr="00A13499">
              <w:rPr>
                <w:b/>
              </w:rPr>
              <w:t>Ranking/donor</w:t>
            </w:r>
          </w:p>
        </w:tc>
        <w:tc>
          <w:tcPr>
            <w:tcW w:w="1269" w:type="pct"/>
            <w:hideMark/>
          </w:tcPr>
          <w:p w14:paraId="028772E3" w14:textId="7FDE81DB" w:rsidR="005150FC" w:rsidRPr="00A13499" w:rsidRDefault="005150FC" w:rsidP="00B97F73">
            <w:pPr>
              <w:rPr>
                <w:b/>
              </w:rPr>
            </w:pPr>
            <w:r w:rsidRPr="00A13499">
              <w:rPr>
                <w:b/>
              </w:rPr>
              <w:t>Bedrag</w:t>
            </w:r>
          </w:p>
        </w:tc>
      </w:tr>
      <w:tr w:rsidR="005150FC" w14:paraId="1DD96D11" w14:textId="77777777" w:rsidTr="005376BB">
        <w:tc>
          <w:tcPr>
            <w:tcW w:w="513" w:type="pct"/>
            <w:shd w:val="clear" w:color="auto" w:fill="D9D9D9"/>
          </w:tcPr>
          <w:p w14:paraId="71942637" w14:textId="77777777" w:rsidR="005150FC" w:rsidRDefault="005150FC" w:rsidP="005150FC"/>
        </w:tc>
        <w:tc>
          <w:tcPr>
            <w:tcW w:w="1282" w:type="pct"/>
            <w:shd w:val="clear" w:color="auto" w:fill="D9D9D9"/>
          </w:tcPr>
          <w:p w14:paraId="5B8B1313" w14:textId="77777777" w:rsidR="005150FC" w:rsidRDefault="005150FC" w:rsidP="005150FC"/>
        </w:tc>
        <w:tc>
          <w:tcPr>
            <w:tcW w:w="1936" w:type="pct"/>
            <w:shd w:val="clear" w:color="auto" w:fill="D9D9D9"/>
          </w:tcPr>
          <w:p w14:paraId="0167ACED" w14:textId="77777777" w:rsidR="005150FC" w:rsidRDefault="005150FC" w:rsidP="005150FC"/>
        </w:tc>
        <w:tc>
          <w:tcPr>
            <w:tcW w:w="1269" w:type="pct"/>
            <w:shd w:val="clear" w:color="auto" w:fill="D9D9D9"/>
          </w:tcPr>
          <w:p w14:paraId="0161BE98" w14:textId="77777777" w:rsidR="005150FC" w:rsidRDefault="005150FC" w:rsidP="005150FC"/>
        </w:tc>
      </w:tr>
      <w:tr w:rsidR="009631A8" w14:paraId="1A581854" w14:textId="77777777" w:rsidTr="005376BB">
        <w:tc>
          <w:tcPr>
            <w:tcW w:w="513" w:type="pct"/>
            <w:vMerge w:val="restart"/>
            <w:hideMark/>
          </w:tcPr>
          <w:p w14:paraId="3939EBB8" w14:textId="77777777" w:rsidR="009631A8" w:rsidRDefault="009631A8" w:rsidP="00BC7D8C">
            <w:r>
              <w:t>2014</w:t>
            </w:r>
          </w:p>
        </w:tc>
        <w:tc>
          <w:tcPr>
            <w:tcW w:w="1282" w:type="pct"/>
            <w:vMerge w:val="restart"/>
            <w:hideMark/>
          </w:tcPr>
          <w:p w14:paraId="15B9CAB4" w14:textId="77777777" w:rsidR="009631A8" w:rsidRDefault="009631A8" w:rsidP="005150FC">
            <w:r>
              <w:t xml:space="preserve">Vrijwillige bijdrage </w:t>
            </w:r>
          </w:p>
          <w:p w14:paraId="7E14C86C" w14:textId="52A7F26F" w:rsidR="009631A8" w:rsidRDefault="009631A8" w:rsidP="005150FC"/>
        </w:tc>
        <w:tc>
          <w:tcPr>
            <w:tcW w:w="1936" w:type="pct"/>
            <w:hideMark/>
          </w:tcPr>
          <w:p w14:paraId="7E59BFD5" w14:textId="1B696926" w:rsidR="009631A8" w:rsidRDefault="009631A8" w:rsidP="005150FC">
            <w:r>
              <w:t>1. Europese Commissie</w:t>
            </w:r>
          </w:p>
        </w:tc>
        <w:tc>
          <w:tcPr>
            <w:tcW w:w="1269" w:type="pct"/>
          </w:tcPr>
          <w:p w14:paraId="54213E19" w14:textId="4F9556E6" w:rsidR="009631A8" w:rsidRDefault="009631A8" w:rsidP="005150FC">
            <w:pPr>
              <w:tabs>
                <w:tab w:val="decimal" w:pos="1026"/>
              </w:tabs>
            </w:pPr>
            <w:r>
              <w:t>5,6</w:t>
            </w:r>
          </w:p>
        </w:tc>
      </w:tr>
      <w:tr w:rsidR="009631A8" w14:paraId="04E6E5BA" w14:textId="77777777" w:rsidTr="005376BB">
        <w:tc>
          <w:tcPr>
            <w:tcW w:w="513" w:type="pct"/>
            <w:vMerge/>
          </w:tcPr>
          <w:p w14:paraId="40AA20CA" w14:textId="77777777" w:rsidR="009631A8" w:rsidRDefault="009631A8" w:rsidP="005150FC"/>
        </w:tc>
        <w:tc>
          <w:tcPr>
            <w:tcW w:w="1282" w:type="pct"/>
            <w:vMerge/>
          </w:tcPr>
          <w:p w14:paraId="59B8A9CB" w14:textId="22C8878C" w:rsidR="009631A8" w:rsidRDefault="009631A8" w:rsidP="005150FC"/>
        </w:tc>
        <w:tc>
          <w:tcPr>
            <w:tcW w:w="1936" w:type="pct"/>
            <w:hideMark/>
          </w:tcPr>
          <w:p w14:paraId="1C56A45E" w14:textId="77777777" w:rsidR="009631A8" w:rsidRDefault="009631A8" w:rsidP="005150FC">
            <w:r>
              <w:t>2. Zweden</w:t>
            </w:r>
          </w:p>
        </w:tc>
        <w:tc>
          <w:tcPr>
            <w:tcW w:w="1269" w:type="pct"/>
          </w:tcPr>
          <w:p w14:paraId="42EC78E6" w14:textId="3A9CD8F0" w:rsidR="009631A8" w:rsidRDefault="009631A8" w:rsidP="005150FC">
            <w:pPr>
              <w:tabs>
                <w:tab w:val="decimal" w:pos="1026"/>
              </w:tabs>
            </w:pPr>
            <w:r>
              <w:t>3,8</w:t>
            </w:r>
          </w:p>
        </w:tc>
      </w:tr>
      <w:tr w:rsidR="009631A8" w14:paraId="459D2D99" w14:textId="77777777" w:rsidTr="005376BB">
        <w:tc>
          <w:tcPr>
            <w:tcW w:w="513" w:type="pct"/>
            <w:vMerge/>
          </w:tcPr>
          <w:p w14:paraId="56D26FBB" w14:textId="77777777" w:rsidR="009631A8" w:rsidRDefault="009631A8" w:rsidP="005150FC"/>
        </w:tc>
        <w:tc>
          <w:tcPr>
            <w:tcW w:w="1282" w:type="pct"/>
            <w:vMerge/>
          </w:tcPr>
          <w:p w14:paraId="62154BF2" w14:textId="375B70F9" w:rsidR="009631A8" w:rsidRDefault="009631A8" w:rsidP="005150FC"/>
        </w:tc>
        <w:tc>
          <w:tcPr>
            <w:tcW w:w="1936" w:type="pct"/>
          </w:tcPr>
          <w:p w14:paraId="660F7C25" w14:textId="1F7F80B2" w:rsidR="009631A8" w:rsidRDefault="009631A8" w:rsidP="005150FC">
            <w:r>
              <w:t>3. Noorwegen</w:t>
            </w:r>
          </w:p>
        </w:tc>
        <w:tc>
          <w:tcPr>
            <w:tcW w:w="1269" w:type="pct"/>
          </w:tcPr>
          <w:p w14:paraId="7B1A9398" w14:textId="481D105C" w:rsidR="009631A8" w:rsidRDefault="009631A8" w:rsidP="005150FC">
            <w:pPr>
              <w:tabs>
                <w:tab w:val="decimal" w:pos="1026"/>
              </w:tabs>
            </w:pPr>
            <w:r>
              <w:t>2</w:t>
            </w:r>
            <w:r w:rsidR="007B7BB5">
              <w:t>,0</w:t>
            </w:r>
          </w:p>
        </w:tc>
      </w:tr>
      <w:tr w:rsidR="009631A8" w:rsidRPr="00A377DF" w14:paraId="669B6517" w14:textId="77777777" w:rsidTr="005376BB">
        <w:tc>
          <w:tcPr>
            <w:tcW w:w="513" w:type="pct"/>
            <w:vMerge/>
          </w:tcPr>
          <w:p w14:paraId="2907BFB4" w14:textId="77777777" w:rsidR="009631A8" w:rsidRDefault="009631A8" w:rsidP="005150FC"/>
        </w:tc>
        <w:tc>
          <w:tcPr>
            <w:tcW w:w="1282" w:type="pct"/>
            <w:vMerge/>
          </w:tcPr>
          <w:p w14:paraId="29521989" w14:textId="77777777" w:rsidR="009631A8" w:rsidRDefault="009631A8" w:rsidP="005150FC"/>
        </w:tc>
        <w:tc>
          <w:tcPr>
            <w:tcW w:w="1936" w:type="pct"/>
            <w:hideMark/>
          </w:tcPr>
          <w:p w14:paraId="4DAA58A3" w14:textId="507FEA19" w:rsidR="009631A8" w:rsidRPr="004D19FE" w:rsidRDefault="009631A8" w:rsidP="005150FC">
            <w:pPr>
              <w:rPr>
                <w:b/>
              </w:rPr>
            </w:pPr>
            <w:r w:rsidRPr="004D19FE">
              <w:rPr>
                <w:b/>
              </w:rPr>
              <w:t>6. Nederland</w:t>
            </w:r>
          </w:p>
        </w:tc>
        <w:tc>
          <w:tcPr>
            <w:tcW w:w="1269" w:type="pct"/>
          </w:tcPr>
          <w:p w14:paraId="1B174414" w14:textId="18E9D396" w:rsidR="009631A8" w:rsidRPr="004D19FE" w:rsidRDefault="009631A8" w:rsidP="005150FC">
            <w:pPr>
              <w:tabs>
                <w:tab w:val="decimal" w:pos="1026"/>
              </w:tabs>
              <w:rPr>
                <w:b/>
              </w:rPr>
            </w:pPr>
            <w:r w:rsidRPr="004D19FE">
              <w:rPr>
                <w:b/>
              </w:rPr>
              <w:t>1,1</w:t>
            </w:r>
          </w:p>
        </w:tc>
      </w:tr>
      <w:tr w:rsidR="005150FC" w14:paraId="05968463" w14:textId="77777777" w:rsidTr="005376BB">
        <w:tc>
          <w:tcPr>
            <w:tcW w:w="513" w:type="pct"/>
            <w:shd w:val="clear" w:color="auto" w:fill="D9D9D9"/>
          </w:tcPr>
          <w:p w14:paraId="4F23EB72" w14:textId="77777777" w:rsidR="005150FC" w:rsidRDefault="005150FC" w:rsidP="005150FC"/>
        </w:tc>
        <w:tc>
          <w:tcPr>
            <w:tcW w:w="1282" w:type="pct"/>
            <w:shd w:val="clear" w:color="auto" w:fill="D9D9D9"/>
          </w:tcPr>
          <w:p w14:paraId="300C4BDB" w14:textId="77777777" w:rsidR="005150FC" w:rsidRDefault="005150FC" w:rsidP="005150FC"/>
        </w:tc>
        <w:tc>
          <w:tcPr>
            <w:tcW w:w="1936" w:type="pct"/>
            <w:shd w:val="clear" w:color="auto" w:fill="D9D9D9"/>
          </w:tcPr>
          <w:p w14:paraId="62C6E96C" w14:textId="77777777" w:rsidR="005150FC" w:rsidRDefault="005150FC" w:rsidP="005150FC"/>
        </w:tc>
        <w:tc>
          <w:tcPr>
            <w:tcW w:w="1269" w:type="pct"/>
            <w:shd w:val="clear" w:color="auto" w:fill="D9D9D9"/>
          </w:tcPr>
          <w:p w14:paraId="03F5BE69" w14:textId="77777777" w:rsidR="005150FC" w:rsidRDefault="005150FC" w:rsidP="005150FC">
            <w:pPr>
              <w:tabs>
                <w:tab w:val="decimal" w:pos="1026"/>
              </w:tabs>
            </w:pPr>
          </w:p>
        </w:tc>
      </w:tr>
      <w:tr w:rsidR="0061255C" w14:paraId="6C57EDB4" w14:textId="77777777" w:rsidTr="005376BB">
        <w:tc>
          <w:tcPr>
            <w:tcW w:w="513" w:type="pct"/>
            <w:vMerge w:val="restart"/>
            <w:hideMark/>
          </w:tcPr>
          <w:p w14:paraId="7A616CF4" w14:textId="56EAB628" w:rsidR="0061255C" w:rsidRDefault="0061255C" w:rsidP="005376BB">
            <w:r>
              <w:t>2015</w:t>
            </w:r>
          </w:p>
        </w:tc>
        <w:tc>
          <w:tcPr>
            <w:tcW w:w="1282" w:type="pct"/>
            <w:vMerge w:val="restart"/>
            <w:hideMark/>
          </w:tcPr>
          <w:p w14:paraId="069DC62E" w14:textId="24EFA1AE" w:rsidR="0061255C" w:rsidRPr="003B0ADA" w:rsidRDefault="0061255C" w:rsidP="005150FC">
            <w:r w:rsidRPr="003B0ADA">
              <w:t>Vrijwillige</w:t>
            </w:r>
            <w:r w:rsidR="003B0ADA" w:rsidRPr="003B0ADA">
              <w:t xml:space="preserve"> bijdrage</w:t>
            </w:r>
          </w:p>
        </w:tc>
        <w:tc>
          <w:tcPr>
            <w:tcW w:w="1936" w:type="pct"/>
            <w:hideMark/>
          </w:tcPr>
          <w:p w14:paraId="6DC877CC" w14:textId="2E28F50A" w:rsidR="0061255C" w:rsidRDefault="003B0ADA" w:rsidP="005150FC">
            <w:r>
              <w:t>1. Europese Commissie</w:t>
            </w:r>
          </w:p>
        </w:tc>
        <w:tc>
          <w:tcPr>
            <w:tcW w:w="1269" w:type="pct"/>
          </w:tcPr>
          <w:p w14:paraId="3EA8C9F1" w14:textId="5B674E4B" w:rsidR="0061255C" w:rsidRDefault="003B0ADA" w:rsidP="005150FC">
            <w:pPr>
              <w:tabs>
                <w:tab w:val="decimal" w:pos="1026"/>
              </w:tabs>
            </w:pPr>
            <w:r>
              <w:t>1,7</w:t>
            </w:r>
          </w:p>
        </w:tc>
      </w:tr>
      <w:tr w:rsidR="0061255C" w14:paraId="506F7453" w14:textId="77777777" w:rsidTr="005376BB">
        <w:tc>
          <w:tcPr>
            <w:tcW w:w="513" w:type="pct"/>
            <w:vMerge/>
          </w:tcPr>
          <w:p w14:paraId="0446F35A" w14:textId="77777777" w:rsidR="0061255C" w:rsidRDefault="0061255C" w:rsidP="005150FC"/>
        </w:tc>
        <w:tc>
          <w:tcPr>
            <w:tcW w:w="1282" w:type="pct"/>
            <w:vMerge/>
          </w:tcPr>
          <w:p w14:paraId="30F278F8" w14:textId="77777777" w:rsidR="0061255C" w:rsidRPr="003B0ADA" w:rsidRDefault="0061255C" w:rsidP="005150FC"/>
        </w:tc>
        <w:tc>
          <w:tcPr>
            <w:tcW w:w="1936" w:type="pct"/>
            <w:hideMark/>
          </w:tcPr>
          <w:p w14:paraId="6117A18D" w14:textId="3815AB89" w:rsidR="0061255C" w:rsidRDefault="003B0ADA" w:rsidP="005150FC">
            <w:r>
              <w:t>2. Zwitserland</w:t>
            </w:r>
          </w:p>
        </w:tc>
        <w:tc>
          <w:tcPr>
            <w:tcW w:w="1269" w:type="pct"/>
          </w:tcPr>
          <w:p w14:paraId="629D87CB" w14:textId="364B1EC6" w:rsidR="0061255C" w:rsidRDefault="003B0ADA" w:rsidP="005150FC">
            <w:pPr>
              <w:tabs>
                <w:tab w:val="decimal" w:pos="1026"/>
              </w:tabs>
            </w:pPr>
            <w:r>
              <w:t>1,7</w:t>
            </w:r>
          </w:p>
        </w:tc>
      </w:tr>
      <w:tr w:rsidR="009631A8" w14:paraId="6C0F1A44" w14:textId="77777777" w:rsidTr="005376BB">
        <w:tc>
          <w:tcPr>
            <w:tcW w:w="513" w:type="pct"/>
            <w:vMerge/>
          </w:tcPr>
          <w:p w14:paraId="5F24F117" w14:textId="77777777" w:rsidR="009631A8" w:rsidRDefault="009631A8" w:rsidP="005150FC"/>
        </w:tc>
        <w:tc>
          <w:tcPr>
            <w:tcW w:w="1282" w:type="pct"/>
            <w:vMerge/>
          </w:tcPr>
          <w:p w14:paraId="2741DAC6" w14:textId="77777777" w:rsidR="009631A8" w:rsidRPr="003B0ADA" w:rsidRDefault="009631A8" w:rsidP="005150FC"/>
        </w:tc>
        <w:tc>
          <w:tcPr>
            <w:tcW w:w="1936" w:type="pct"/>
          </w:tcPr>
          <w:p w14:paraId="24729920" w14:textId="6505B56C" w:rsidR="009631A8" w:rsidRDefault="009631A8" w:rsidP="005150FC">
            <w:r>
              <w:t>3. Finland</w:t>
            </w:r>
          </w:p>
        </w:tc>
        <w:tc>
          <w:tcPr>
            <w:tcW w:w="1269" w:type="pct"/>
          </w:tcPr>
          <w:p w14:paraId="5B692722" w14:textId="6BE5B2A2" w:rsidR="009631A8" w:rsidRDefault="009631A8" w:rsidP="005150FC">
            <w:pPr>
              <w:tabs>
                <w:tab w:val="decimal" w:pos="1026"/>
              </w:tabs>
            </w:pPr>
            <w:r>
              <w:t>1,5</w:t>
            </w:r>
          </w:p>
        </w:tc>
      </w:tr>
      <w:tr w:rsidR="0061255C" w14:paraId="5616623E" w14:textId="77777777" w:rsidTr="005376BB">
        <w:tc>
          <w:tcPr>
            <w:tcW w:w="513" w:type="pct"/>
            <w:vMerge/>
          </w:tcPr>
          <w:p w14:paraId="5ECE7E79" w14:textId="77777777" w:rsidR="0061255C" w:rsidRDefault="0061255C" w:rsidP="005150FC"/>
        </w:tc>
        <w:tc>
          <w:tcPr>
            <w:tcW w:w="1282" w:type="pct"/>
            <w:vMerge/>
          </w:tcPr>
          <w:p w14:paraId="32D6DE7F" w14:textId="77777777" w:rsidR="0061255C" w:rsidRPr="003B0ADA" w:rsidRDefault="0061255C" w:rsidP="005150FC"/>
        </w:tc>
        <w:tc>
          <w:tcPr>
            <w:tcW w:w="1936" w:type="pct"/>
            <w:hideMark/>
          </w:tcPr>
          <w:p w14:paraId="78226F3F" w14:textId="561B6F6C" w:rsidR="0061255C" w:rsidRPr="005C4B06" w:rsidRDefault="003B0ADA" w:rsidP="005150FC">
            <w:pPr>
              <w:rPr>
                <w:b/>
              </w:rPr>
            </w:pPr>
            <w:r w:rsidRPr="005C4B06">
              <w:rPr>
                <w:b/>
              </w:rPr>
              <w:t>4. Nederland</w:t>
            </w:r>
          </w:p>
        </w:tc>
        <w:tc>
          <w:tcPr>
            <w:tcW w:w="1269" w:type="pct"/>
          </w:tcPr>
          <w:p w14:paraId="5C12BE2B" w14:textId="7EB89B22" w:rsidR="0061255C" w:rsidRPr="005C4B06" w:rsidRDefault="003B0ADA" w:rsidP="005150FC">
            <w:pPr>
              <w:tabs>
                <w:tab w:val="decimal" w:pos="1026"/>
              </w:tabs>
              <w:rPr>
                <w:b/>
              </w:rPr>
            </w:pPr>
            <w:r w:rsidRPr="005C4B06">
              <w:rPr>
                <w:b/>
              </w:rPr>
              <w:t>1,4</w:t>
            </w:r>
          </w:p>
        </w:tc>
      </w:tr>
      <w:tr w:rsidR="005376BB" w14:paraId="13A4D45B" w14:textId="77777777" w:rsidTr="005376BB">
        <w:tc>
          <w:tcPr>
            <w:tcW w:w="513" w:type="pct"/>
            <w:tcBorders>
              <w:bottom w:val="single" w:sz="6" w:space="0" w:color="auto"/>
            </w:tcBorders>
            <w:shd w:val="clear" w:color="auto" w:fill="D9D9D9" w:themeFill="background1" w:themeFillShade="D9"/>
          </w:tcPr>
          <w:p w14:paraId="3A5A902A" w14:textId="3D63A1D9" w:rsidR="005376BB" w:rsidRDefault="005376BB" w:rsidP="005376BB"/>
        </w:tc>
        <w:tc>
          <w:tcPr>
            <w:tcW w:w="1282" w:type="pct"/>
            <w:tcBorders>
              <w:bottom w:val="single" w:sz="6" w:space="0" w:color="auto"/>
            </w:tcBorders>
            <w:shd w:val="clear" w:color="auto" w:fill="D9D9D9" w:themeFill="background1" w:themeFillShade="D9"/>
          </w:tcPr>
          <w:p w14:paraId="3F596BF5" w14:textId="77777777" w:rsidR="005376BB" w:rsidRPr="003B0ADA" w:rsidRDefault="005376BB" w:rsidP="005376BB"/>
        </w:tc>
        <w:tc>
          <w:tcPr>
            <w:tcW w:w="1936" w:type="pct"/>
            <w:shd w:val="clear" w:color="auto" w:fill="D9D9D9" w:themeFill="background1" w:themeFillShade="D9"/>
          </w:tcPr>
          <w:p w14:paraId="648F6188" w14:textId="77777777" w:rsidR="005376BB" w:rsidRPr="005C4B06" w:rsidRDefault="005376BB" w:rsidP="005376BB">
            <w:pPr>
              <w:rPr>
                <w:b/>
              </w:rPr>
            </w:pPr>
          </w:p>
        </w:tc>
        <w:tc>
          <w:tcPr>
            <w:tcW w:w="1269" w:type="pct"/>
            <w:shd w:val="clear" w:color="auto" w:fill="D9D9D9" w:themeFill="background1" w:themeFillShade="D9"/>
          </w:tcPr>
          <w:p w14:paraId="6B9D7BD7" w14:textId="49A44122" w:rsidR="005376BB" w:rsidRPr="005C4B06" w:rsidRDefault="005376BB" w:rsidP="005376BB">
            <w:pPr>
              <w:tabs>
                <w:tab w:val="decimal" w:pos="1026"/>
              </w:tabs>
              <w:rPr>
                <w:b/>
              </w:rPr>
            </w:pPr>
          </w:p>
        </w:tc>
      </w:tr>
      <w:tr w:rsidR="005376BB" w14:paraId="4CE81044" w14:textId="77777777" w:rsidTr="005376BB">
        <w:tc>
          <w:tcPr>
            <w:tcW w:w="513" w:type="pct"/>
            <w:tcBorders>
              <w:top w:val="single" w:sz="6" w:space="0" w:color="auto"/>
              <w:bottom w:val="nil"/>
            </w:tcBorders>
          </w:tcPr>
          <w:p w14:paraId="4BE3F76A" w14:textId="1DD686CE" w:rsidR="005376BB" w:rsidRDefault="005376BB" w:rsidP="005376BB">
            <w:r>
              <w:t>2016*</w:t>
            </w:r>
          </w:p>
        </w:tc>
        <w:tc>
          <w:tcPr>
            <w:tcW w:w="1282" w:type="pct"/>
            <w:tcBorders>
              <w:top w:val="single" w:sz="6" w:space="0" w:color="auto"/>
              <w:bottom w:val="nil"/>
            </w:tcBorders>
          </w:tcPr>
          <w:p w14:paraId="03978031" w14:textId="46ADA35A" w:rsidR="005376BB" w:rsidRPr="003B0ADA" w:rsidRDefault="005376BB" w:rsidP="005376BB">
            <w:r w:rsidRPr="003B0ADA">
              <w:t>Vrijwillige bijdrage</w:t>
            </w:r>
          </w:p>
        </w:tc>
        <w:tc>
          <w:tcPr>
            <w:tcW w:w="1936" w:type="pct"/>
          </w:tcPr>
          <w:p w14:paraId="661D93BE" w14:textId="0E609BD9" w:rsidR="005376BB" w:rsidRPr="005C4B06" w:rsidRDefault="005376BB" w:rsidP="005376BB">
            <w:pPr>
              <w:rPr>
                <w:b/>
              </w:rPr>
            </w:pPr>
            <w:r>
              <w:t>1. Europese Commissie</w:t>
            </w:r>
          </w:p>
        </w:tc>
        <w:tc>
          <w:tcPr>
            <w:tcW w:w="1269" w:type="pct"/>
          </w:tcPr>
          <w:p w14:paraId="17B9C5DB" w14:textId="512849C9" w:rsidR="005376BB" w:rsidRPr="005C4B06" w:rsidRDefault="005376BB" w:rsidP="005376BB">
            <w:pPr>
              <w:tabs>
                <w:tab w:val="decimal" w:pos="1026"/>
              </w:tabs>
              <w:rPr>
                <w:b/>
              </w:rPr>
            </w:pPr>
            <w:r>
              <w:t>1,7</w:t>
            </w:r>
          </w:p>
        </w:tc>
      </w:tr>
      <w:tr w:rsidR="005376BB" w14:paraId="1AFA9B0E" w14:textId="77777777" w:rsidTr="005376BB">
        <w:tc>
          <w:tcPr>
            <w:tcW w:w="513" w:type="pct"/>
            <w:tcBorders>
              <w:top w:val="nil"/>
              <w:bottom w:val="nil"/>
            </w:tcBorders>
          </w:tcPr>
          <w:p w14:paraId="7F0BA706" w14:textId="5591B061" w:rsidR="005376BB" w:rsidRDefault="005376BB" w:rsidP="005376BB"/>
        </w:tc>
        <w:tc>
          <w:tcPr>
            <w:tcW w:w="1282" w:type="pct"/>
            <w:tcBorders>
              <w:top w:val="nil"/>
              <w:bottom w:val="nil"/>
            </w:tcBorders>
          </w:tcPr>
          <w:p w14:paraId="7D13816B" w14:textId="77777777" w:rsidR="005376BB" w:rsidRPr="003B0ADA" w:rsidRDefault="005376BB" w:rsidP="005376BB"/>
        </w:tc>
        <w:tc>
          <w:tcPr>
            <w:tcW w:w="1936" w:type="pct"/>
          </w:tcPr>
          <w:p w14:paraId="7058E9F8" w14:textId="167DDE02" w:rsidR="005376BB" w:rsidRPr="005C4B06" w:rsidRDefault="005376BB" w:rsidP="005376BB">
            <w:pPr>
              <w:rPr>
                <w:b/>
              </w:rPr>
            </w:pPr>
            <w:r>
              <w:t>2. Zwitserland</w:t>
            </w:r>
          </w:p>
        </w:tc>
        <w:tc>
          <w:tcPr>
            <w:tcW w:w="1269" w:type="pct"/>
          </w:tcPr>
          <w:p w14:paraId="1E14B1ED" w14:textId="6C2B5611" w:rsidR="005376BB" w:rsidRPr="005C4B06" w:rsidRDefault="005376BB" w:rsidP="005376BB">
            <w:pPr>
              <w:tabs>
                <w:tab w:val="decimal" w:pos="1026"/>
              </w:tabs>
              <w:rPr>
                <w:b/>
              </w:rPr>
            </w:pPr>
            <w:r>
              <w:t>1,7</w:t>
            </w:r>
          </w:p>
        </w:tc>
      </w:tr>
      <w:tr w:rsidR="005376BB" w14:paraId="5D74F250" w14:textId="77777777" w:rsidTr="005376BB">
        <w:tc>
          <w:tcPr>
            <w:tcW w:w="513" w:type="pct"/>
            <w:tcBorders>
              <w:top w:val="nil"/>
            </w:tcBorders>
          </w:tcPr>
          <w:p w14:paraId="6E85C5B7" w14:textId="1348D54B" w:rsidR="005376BB" w:rsidRDefault="005376BB" w:rsidP="005376BB"/>
        </w:tc>
        <w:tc>
          <w:tcPr>
            <w:tcW w:w="1282" w:type="pct"/>
            <w:tcBorders>
              <w:top w:val="nil"/>
              <w:bottom w:val="single" w:sz="12" w:space="0" w:color="auto"/>
            </w:tcBorders>
          </w:tcPr>
          <w:p w14:paraId="1CFEFDD6" w14:textId="77777777" w:rsidR="005376BB" w:rsidRPr="003B0ADA" w:rsidRDefault="005376BB" w:rsidP="005376BB"/>
        </w:tc>
        <w:tc>
          <w:tcPr>
            <w:tcW w:w="1936" w:type="pct"/>
          </w:tcPr>
          <w:p w14:paraId="7D5CB40F" w14:textId="7D2EF22A" w:rsidR="005376BB" w:rsidRPr="005C4B06" w:rsidRDefault="005376BB" w:rsidP="005376BB">
            <w:pPr>
              <w:rPr>
                <w:b/>
              </w:rPr>
            </w:pPr>
            <w:r>
              <w:t>3. Finland</w:t>
            </w:r>
          </w:p>
        </w:tc>
        <w:tc>
          <w:tcPr>
            <w:tcW w:w="1269" w:type="pct"/>
          </w:tcPr>
          <w:p w14:paraId="6874A1ED" w14:textId="6FBF2705" w:rsidR="005376BB" w:rsidRPr="005C4B06" w:rsidRDefault="005376BB" w:rsidP="005376BB">
            <w:pPr>
              <w:tabs>
                <w:tab w:val="decimal" w:pos="1026"/>
              </w:tabs>
              <w:rPr>
                <w:b/>
              </w:rPr>
            </w:pPr>
            <w:r>
              <w:t>1,5</w:t>
            </w:r>
          </w:p>
        </w:tc>
      </w:tr>
    </w:tbl>
    <w:p w14:paraId="1D582E2B" w14:textId="2C6D8005" w:rsidR="005150FC" w:rsidRDefault="005150FC" w:rsidP="00B95FC2"/>
    <w:p w14:paraId="7FD5189A" w14:textId="43D12175" w:rsidR="005376BB" w:rsidRPr="00B95FC2" w:rsidRDefault="005376BB" w:rsidP="00B95FC2">
      <w:r>
        <w:t xml:space="preserve">* Definitieve cijfers over het jaar 2016 zijn nog niet bekend gemaakt. </w:t>
      </w:r>
    </w:p>
    <w:p w14:paraId="5AEFE91B" w14:textId="451BA004" w:rsidR="009811DF" w:rsidRDefault="00D07878" w:rsidP="00F24A31">
      <w:pPr>
        <w:pStyle w:val="Heading1"/>
        <w:tabs>
          <w:tab w:val="num" w:pos="0"/>
        </w:tabs>
        <w:spacing w:after="240" w:line="240" w:lineRule="auto"/>
        <w:ind w:hanging="1162"/>
      </w:pPr>
      <w:bookmarkStart w:id="27" w:name="_Toc491267893"/>
      <w:r>
        <w:lastRenderedPageBreak/>
        <w:t>4</w:t>
      </w:r>
      <w:r w:rsidR="00F24A31">
        <w:t xml:space="preserve"> </w:t>
      </w:r>
      <w:r w:rsidR="00F24A31">
        <w:tab/>
      </w:r>
      <w:r w:rsidR="006C1EB0">
        <w:t>Institutionele aspecten</w:t>
      </w:r>
      <w:r w:rsidR="00D745A7">
        <w:t xml:space="preserve"> </w:t>
      </w:r>
      <w:r w:rsidR="009B1466">
        <w:t xml:space="preserve">en functioneren </w:t>
      </w:r>
      <w:r w:rsidR="00D745A7">
        <w:t>van de organisatie</w:t>
      </w:r>
      <w:bookmarkEnd w:id="27"/>
    </w:p>
    <w:p w14:paraId="16326658" w14:textId="77777777" w:rsidR="00D07878" w:rsidRPr="00D07878" w:rsidRDefault="00D07878" w:rsidP="00D07878">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0BCC0969" w14:textId="77777777" w:rsidR="00D07878" w:rsidRPr="00D07878" w:rsidRDefault="00D07878" w:rsidP="00D07878">
      <w:pPr>
        <w:pStyle w:val="ListParagraph"/>
        <w:keepNext/>
        <w:widowControl w:val="0"/>
        <w:numPr>
          <w:ilvl w:val="0"/>
          <w:numId w:val="20"/>
        </w:numPr>
        <w:tabs>
          <w:tab w:val="left" w:pos="-1162"/>
          <w:tab w:val="left" w:pos="0"/>
        </w:tabs>
        <w:spacing w:before="200" w:line="240" w:lineRule="auto"/>
        <w:outlineLvl w:val="1"/>
        <w:rPr>
          <w:rFonts w:cs="Arial"/>
          <w:b/>
          <w:iCs/>
          <w:vanish/>
          <w:kern w:val="32"/>
          <w:szCs w:val="28"/>
        </w:rPr>
      </w:pPr>
    </w:p>
    <w:p w14:paraId="40CEA792" w14:textId="4C822D29" w:rsidR="00D745A7" w:rsidRPr="004D372F" w:rsidRDefault="005869DA" w:rsidP="00D07878">
      <w:pPr>
        <w:pStyle w:val="Heading2"/>
        <w:numPr>
          <w:ilvl w:val="1"/>
          <w:numId w:val="20"/>
        </w:numPr>
        <w:tabs>
          <w:tab w:val="left" w:pos="-1162"/>
          <w:tab w:val="left" w:pos="0"/>
        </w:tabs>
        <w:spacing w:line="240" w:lineRule="auto"/>
      </w:pPr>
      <w:r>
        <w:t xml:space="preserve"> </w:t>
      </w:r>
      <w:r w:rsidR="004706A9">
        <w:tab/>
      </w:r>
      <w:bookmarkStart w:id="28" w:name="_Toc491267894"/>
      <w:r w:rsidR="00743337">
        <w:t xml:space="preserve">Strategie en </w:t>
      </w:r>
      <w:r w:rsidR="002A310E">
        <w:t>verantwoording</w:t>
      </w:r>
      <w:bookmarkEnd w:id="28"/>
    </w:p>
    <w:p w14:paraId="3645D9DA" w14:textId="270AD9D2" w:rsidR="00F35651" w:rsidRDefault="004F476C" w:rsidP="004F476C">
      <w:r>
        <w:t xml:space="preserve">UNCTAD </w:t>
      </w:r>
      <w:r w:rsidR="007C3458">
        <w:t>heeft</w:t>
      </w:r>
      <w:r>
        <w:t xml:space="preserve"> drie kerntaken: intergouvernementele consensusvorming op handel, investeringen en ontwikkeling; onderzoek en beleidsanalyse op deze terreinen; en technische assistentie aan ontwikkelingslanden. </w:t>
      </w:r>
      <w:r w:rsidR="00F35651">
        <w:t xml:space="preserve">Hiermee is UNCTAD </w:t>
      </w:r>
      <w:r w:rsidR="000E2A5E">
        <w:t>een</w:t>
      </w:r>
      <w:r w:rsidR="00F35651">
        <w:t xml:space="preserve"> multilaterale organisatie die relevant is voor het Nederlandse beleid op het gebied van hulp, handel en investeringen.</w:t>
      </w:r>
    </w:p>
    <w:p w14:paraId="2FBEFEC2" w14:textId="77777777" w:rsidR="00F35651" w:rsidRDefault="00F35651" w:rsidP="004F476C"/>
    <w:p w14:paraId="2A61A102" w14:textId="0A8BC987" w:rsidR="004F476C" w:rsidRDefault="00A717EC" w:rsidP="004F476C">
      <w:r>
        <w:t xml:space="preserve">Tijdens </w:t>
      </w:r>
      <w:r w:rsidR="00280445">
        <w:t>de</w:t>
      </w:r>
      <w:r w:rsidRPr="00D949D2">
        <w:t xml:space="preserve"> </w:t>
      </w:r>
      <w:r w:rsidR="004F476C" w:rsidRPr="00D949D2">
        <w:t xml:space="preserve">vierjaarlijkse </w:t>
      </w:r>
      <w:r w:rsidR="007C3458">
        <w:t xml:space="preserve">ministeriële </w:t>
      </w:r>
      <w:r w:rsidR="000B6977">
        <w:t>c</w:t>
      </w:r>
      <w:r w:rsidR="004F476C" w:rsidRPr="00D949D2">
        <w:t>onferentie</w:t>
      </w:r>
      <w:r w:rsidR="00280445">
        <w:t>s</w:t>
      </w:r>
      <w:r w:rsidR="004F476C" w:rsidRPr="00D949D2">
        <w:t xml:space="preserve"> </w:t>
      </w:r>
      <w:r>
        <w:t xml:space="preserve">komen leden </w:t>
      </w:r>
      <w:r w:rsidR="00280445">
        <w:t xml:space="preserve">een werkplan </w:t>
      </w:r>
      <w:r>
        <w:t>overeen</w:t>
      </w:r>
      <w:r w:rsidR="00280445">
        <w:t xml:space="preserve"> waarin wordt vastgelegd hoe UNCTAD, middels deze drie kerntaken, invulling zal geven aan haar kernm</w:t>
      </w:r>
      <w:r w:rsidR="006B2CF2">
        <w:t>andaat</w:t>
      </w:r>
      <w:r w:rsidR="004F476C" w:rsidRPr="00D949D2">
        <w:t xml:space="preserve">. </w:t>
      </w:r>
      <w:r w:rsidR="00280445">
        <w:t xml:space="preserve">Resultaten van deze inspanningen zijn wisselend, </w:t>
      </w:r>
      <w:r w:rsidR="006B2CF2">
        <w:t xml:space="preserve">deels </w:t>
      </w:r>
      <w:r w:rsidR="00280445">
        <w:t xml:space="preserve">als gevolg van </w:t>
      </w:r>
      <w:r w:rsidR="006B2CF2">
        <w:t xml:space="preserve">sterke verschillen van inzicht </w:t>
      </w:r>
      <w:r w:rsidR="008D57D1">
        <w:t xml:space="preserve">tussen de leden en binnen het UNCTAD-secretariaat </w:t>
      </w:r>
      <w:r w:rsidR="006B2CF2">
        <w:t>over beleidsvraagstukken en</w:t>
      </w:r>
      <w:r w:rsidR="008D57D1">
        <w:t xml:space="preserve"> over</w:t>
      </w:r>
      <w:r w:rsidR="006B2CF2">
        <w:t xml:space="preserve"> </w:t>
      </w:r>
      <w:r w:rsidR="00A747CF">
        <w:t>de reikwijdte van het</w:t>
      </w:r>
      <w:r w:rsidR="006B2CF2">
        <w:t xml:space="preserve"> UNCTAD-mandaat</w:t>
      </w:r>
      <w:r w:rsidR="00280445">
        <w:t xml:space="preserve">. </w:t>
      </w:r>
    </w:p>
    <w:p w14:paraId="7E6A8F1B" w14:textId="77777777" w:rsidR="004F476C" w:rsidRDefault="004F476C" w:rsidP="004F476C"/>
    <w:p w14:paraId="590106A7" w14:textId="63CCF320" w:rsidR="007F236A" w:rsidRDefault="004F476C" w:rsidP="004F476C">
      <w:r w:rsidRPr="00982CDC">
        <w:t xml:space="preserve">De onderhandelingen op het gebied van </w:t>
      </w:r>
      <w:r w:rsidRPr="00246DF5">
        <w:t>intergouvernementele consensusvorming</w:t>
      </w:r>
      <w:r w:rsidRPr="00982CDC">
        <w:t xml:space="preserve"> </w:t>
      </w:r>
      <w:r w:rsidR="006B2CF2">
        <w:t>zijn</w:t>
      </w:r>
      <w:r w:rsidR="006B2CF2" w:rsidRPr="00982CDC">
        <w:t xml:space="preserve"> </w:t>
      </w:r>
      <w:r w:rsidR="006B2CF2">
        <w:t xml:space="preserve">vaak </w:t>
      </w:r>
      <w:r w:rsidRPr="00982CDC">
        <w:t xml:space="preserve">gepolitiseerd </w:t>
      </w:r>
      <w:r w:rsidR="006B2CF2">
        <w:t xml:space="preserve">en worden bemoeilijkt </w:t>
      </w:r>
      <w:r w:rsidRPr="00982CDC">
        <w:t xml:space="preserve">door tegenstellingen tussen de posities van </w:t>
      </w:r>
      <w:r w:rsidR="00D9307A">
        <w:t>w</w:t>
      </w:r>
      <w:r w:rsidR="00D9307A" w:rsidRPr="00982CDC">
        <w:t xml:space="preserve">esterse </w:t>
      </w:r>
      <w:r w:rsidRPr="00982CDC">
        <w:t xml:space="preserve">landen en </w:t>
      </w:r>
      <w:r w:rsidR="008B639D">
        <w:t xml:space="preserve">de </w:t>
      </w:r>
      <w:r w:rsidR="006B13C7">
        <w:t>G77</w:t>
      </w:r>
      <w:r w:rsidRPr="00982CDC">
        <w:t xml:space="preserve">. </w:t>
      </w:r>
      <w:r w:rsidR="003559D9">
        <w:t>Dit resulteert in minder</w:t>
      </w:r>
      <w:r w:rsidRPr="00D43191">
        <w:t xml:space="preserve"> </w:t>
      </w:r>
      <w:r w:rsidR="006B2CF2">
        <w:t xml:space="preserve">heldere en eenduidige </w:t>
      </w:r>
      <w:r w:rsidRPr="00D43191">
        <w:t>politieke sturing</w:t>
      </w:r>
      <w:r w:rsidR="003559D9">
        <w:t>, wat</w:t>
      </w:r>
      <w:r w:rsidRPr="00D43191">
        <w:t xml:space="preserve"> </w:t>
      </w:r>
      <w:r w:rsidR="006B2CF2">
        <w:t xml:space="preserve">delen van </w:t>
      </w:r>
      <w:r w:rsidRPr="00D43191">
        <w:t>het secretariaat</w:t>
      </w:r>
      <w:r w:rsidR="006B2CF2">
        <w:t xml:space="preserve"> de ruimte</w:t>
      </w:r>
      <w:r w:rsidRPr="00D43191">
        <w:t xml:space="preserve"> </w:t>
      </w:r>
      <w:r w:rsidR="003559D9">
        <w:t>biedt</w:t>
      </w:r>
      <w:r w:rsidR="003559D9" w:rsidRPr="00D43191">
        <w:t xml:space="preserve"> </w:t>
      </w:r>
      <w:r w:rsidRPr="00D43191">
        <w:t>naar eigen inzicht invulling</w:t>
      </w:r>
      <w:r w:rsidR="006B2CF2">
        <w:t xml:space="preserve"> te geven</w:t>
      </w:r>
      <w:r w:rsidRPr="00D43191">
        <w:t xml:space="preserve"> aan het mandaat. Dat leidt in </w:t>
      </w:r>
      <w:r w:rsidR="006B2CF2">
        <w:t>een aantal</w:t>
      </w:r>
      <w:r w:rsidR="006B2CF2" w:rsidRPr="00D43191">
        <w:t xml:space="preserve"> </w:t>
      </w:r>
      <w:r w:rsidRPr="00D43191">
        <w:t xml:space="preserve">UNCTAD-divisies tot </w:t>
      </w:r>
      <w:r w:rsidR="006B2CF2">
        <w:t>politiek gekleurde analyses</w:t>
      </w:r>
      <w:r w:rsidR="00515A67">
        <w:t xml:space="preserve"> en de neiging tot mandaatsoverschrijding</w:t>
      </w:r>
      <w:r w:rsidR="007C3458">
        <w:t>.</w:t>
      </w:r>
      <w:r w:rsidR="006B2CF2">
        <w:t xml:space="preserve"> </w:t>
      </w:r>
      <w:r w:rsidR="007C3458">
        <w:t xml:space="preserve">Ook </w:t>
      </w:r>
      <w:r w:rsidR="00515A67">
        <w:t>heeft</w:t>
      </w:r>
      <w:r w:rsidR="007C3458">
        <w:t xml:space="preserve"> UNCTAD </w:t>
      </w:r>
      <w:r w:rsidR="00515A67">
        <w:t>een traditie van</w:t>
      </w:r>
      <w:r w:rsidR="006B2CF2">
        <w:t xml:space="preserve"> </w:t>
      </w:r>
      <w:r w:rsidRPr="00D43191">
        <w:t xml:space="preserve">gebrek aan </w:t>
      </w:r>
      <w:r>
        <w:t xml:space="preserve">coherentie en </w:t>
      </w:r>
      <w:r w:rsidRPr="00D43191">
        <w:t xml:space="preserve">focus op resultaten. De </w:t>
      </w:r>
      <w:r w:rsidRPr="0062633A">
        <w:rPr>
          <w:i/>
        </w:rPr>
        <w:t>Investment and Enterprise Division</w:t>
      </w:r>
      <w:r w:rsidR="00D04162">
        <w:t xml:space="preserve"> -</w:t>
      </w:r>
      <w:r w:rsidRPr="00D43191">
        <w:t xml:space="preserve"> een </w:t>
      </w:r>
      <w:r w:rsidR="001D55F5">
        <w:t>directie</w:t>
      </w:r>
      <w:r w:rsidR="001D55F5" w:rsidRPr="00D43191">
        <w:t xml:space="preserve"> </w:t>
      </w:r>
      <w:r w:rsidRPr="00D43191">
        <w:t xml:space="preserve">die </w:t>
      </w:r>
      <w:r w:rsidR="006B13C7">
        <w:t xml:space="preserve">ook </w:t>
      </w:r>
      <w:r w:rsidRPr="00D43191">
        <w:t>voor het investeringsbeleid van Nederland relevant is</w:t>
      </w:r>
      <w:r w:rsidR="00D04162">
        <w:t xml:space="preserve"> -</w:t>
      </w:r>
      <w:r w:rsidRPr="00D43191">
        <w:t xml:space="preserve"> </w:t>
      </w:r>
      <w:r w:rsidR="00DB686C">
        <w:t xml:space="preserve">en de </w:t>
      </w:r>
      <w:r w:rsidR="00DB686C" w:rsidRPr="005869DA">
        <w:rPr>
          <w:i/>
        </w:rPr>
        <w:t>Technology and Logistics Division</w:t>
      </w:r>
      <w:r w:rsidR="00D04162">
        <w:t xml:space="preserve"> zijn </w:t>
      </w:r>
      <w:r w:rsidRPr="00D43191" w:rsidDel="00D04162">
        <w:t xml:space="preserve">hierop </w:t>
      </w:r>
      <w:r w:rsidR="00497EA2">
        <w:t xml:space="preserve">de </w:t>
      </w:r>
      <w:r w:rsidR="006E5A17">
        <w:t xml:space="preserve">positieve </w:t>
      </w:r>
      <w:r w:rsidRPr="00D43191">
        <w:t>uitzondering</w:t>
      </w:r>
      <w:r w:rsidR="00497EA2">
        <w:t>en</w:t>
      </w:r>
      <w:r w:rsidRPr="00D43191">
        <w:t xml:space="preserve">. </w:t>
      </w:r>
    </w:p>
    <w:p w14:paraId="0AF8F899" w14:textId="0D6DB44A" w:rsidR="007C3458" w:rsidRDefault="007C3458" w:rsidP="004F476C"/>
    <w:p w14:paraId="0D018FDF" w14:textId="4770CDA6" w:rsidR="00964F7E" w:rsidRDefault="00DA3D0B">
      <w:r>
        <w:t>Het huidige werkp</w:t>
      </w:r>
      <w:r w:rsidR="002C1986">
        <w:t>lan</w:t>
      </w:r>
      <w:r>
        <w:t xml:space="preserve"> met een vierjarig cyclus werd overeengekomen in 2016</w:t>
      </w:r>
      <w:r w:rsidR="00964F7E">
        <w:t>.</w:t>
      </w:r>
      <w:r>
        <w:t xml:space="preserve"> </w:t>
      </w:r>
      <w:r w:rsidR="00964F7E">
        <w:t>D</w:t>
      </w:r>
      <w:r>
        <w:t xml:space="preserve">e </w:t>
      </w:r>
      <w:r w:rsidR="00D9307A">
        <w:t>SDG</w:t>
      </w:r>
      <w:r w:rsidR="005869DA">
        <w:t>’</w:t>
      </w:r>
      <w:r w:rsidR="00D9307A">
        <w:t>s</w:t>
      </w:r>
      <w:r w:rsidR="00964F7E">
        <w:t>,</w:t>
      </w:r>
      <w:r>
        <w:t xml:space="preserve"> de Addis Abeba Action Agenda, en het klimaatakkoord van Parijs </w:t>
      </w:r>
      <w:r w:rsidR="00964F7E">
        <w:t xml:space="preserve">hebben hiervoor het kader gevormd. </w:t>
      </w:r>
      <w:r w:rsidR="002C1986">
        <w:t>Het werkplan</w:t>
      </w:r>
      <w:r w:rsidR="00D9307A">
        <w:t xml:space="preserve"> -</w:t>
      </w:r>
      <w:r w:rsidR="0038735D">
        <w:t xml:space="preserve"> hoewel verbeterd ten opzichte van het vorige</w:t>
      </w:r>
      <w:r w:rsidR="00D9307A">
        <w:t xml:space="preserve"> -</w:t>
      </w:r>
      <w:r w:rsidR="0038735D">
        <w:t xml:space="preserve"> heeft nog steeds </w:t>
      </w:r>
      <w:r w:rsidR="006B13C7">
        <w:t>onvoldoende</w:t>
      </w:r>
      <w:r w:rsidR="002C1986">
        <w:t xml:space="preserve"> focus</w:t>
      </w:r>
      <w:r w:rsidR="006B13C7">
        <w:t>. Daarnaast heeft</w:t>
      </w:r>
      <w:r w:rsidR="00D02352">
        <w:t xml:space="preserve"> de organisatie</w:t>
      </w:r>
      <w:r w:rsidR="0075229F">
        <w:t xml:space="preserve"> </w:t>
      </w:r>
      <w:r w:rsidR="006B13C7">
        <w:t>g</w:t>
      </w:r>
      <w:r w:rsidR="00D02352">
        <w:t xml:space="preserve">een </w:t>
      </w:r>
      <w:r w:rsidR="007B7BB5">
        <w:t xml:space="preserve">expliciete </w:t>
      </w:r>
      <w:r w:rsidR="00D02352" w:rsidRPr="0075229F">
        <w:rPr>
          <w:i/>
        </w:rPr>
        <w:t>Theor</w:t>
      </w:r>
      <w:r w:rsidR="000E2A5E">
        <w:rPr>
          <w:i/>
        </w:rPr>
        <w:t>y</w:t>
      </w:r>
      <w:r w:rsidR="00D02352" w:rsidRPr="0075229F">
        <w:rPr>
          <w:i/>
        </w:rPr>
        <w:t xml:space="preserve"> of Change</w:t>
      </w:r>
      <w:r w:rsidR="007B7BB5">
        <w:t xml:space="preserve"> geformuleerd</w:t>
      </w:r>
      <w:r w:rsidR="006B13C7">
        <w:t xml:space="preserve"> als basis voor de activiteiten</w:t>
      </w:r>
      <w:r w:rsidR="00D02352">
        <w:t xml:space="preserve">. </w:t>
      </w:r>
    </w:p>
    <w:p w14:paraId="6FB92371" w14:textId="77777777" w:rsidR="00964F7E" w:rsidRDefault="00964F7E"/>
    <w:p w14:paraId="7C9BD658" w14:textId="5121653C" w:rsidR="001F51D1" w:rsidRDefault="0090405C">
      <w:r>
        <w:t>UNCTAD</w:t>
      </w:r>
      <w:r w:rsidR="00F44FBE">
        <w:t xml:space="preserve"> </w:t>
      </w:r>
      <w:r w:rsidR="00CF79E5">
        <w:t>legt financiële verantwoording af aan verschillende entiteiten</w:t>
      </w:r>
      <w:r w:rsidR="00F44FBE">
        <w:t xml:space="preserve">. Het reguliere UNCTAD-budget is onderdeel van het budget van het VN-Secretariaat en de verantwoording hierover wordt behandeld in New York. UNCTAD legt verantwoording af </w:t>
      </w:r>
      <w:r>
        <w:t>aan donoren over haar technische assistentie, d</w:t>
      </w:r>
      <w:r w:rsidR="00F35651">
        <w:t>ie wordt gefinancierd uit</w:t>
      </w:r>
      <w:r w:rsidR="0027467F">
        <w:t xml:space="preserve"> </w:t>
      </w:r>
      <w:r>
        <w:t>het extra-budgettaire fonds. De organisatie is beperkt transparant</w:t>
      </w:r>
      <w:r w:rsidR="0038735D">
        <w:t xml:space="preserve"> naar lidstaten</w:t>
      </w:r>
      <w:r>
        <w:t>: documenten worden vertraagd aangeleverd en informatie blijft, ondanks een ver</w:t>
      </w:r>
      <w:r w:rsidR="009B7818">
        <w:t>beterde</w:t>
      </w:r>
      <w:r>
        <w:t xml:space="preserve"> website, moeilijk </w:t>
      </w:r>
      <w:r w:rsidR="006E5A17">
        <w:t>vindbaar</w:t>
      </w:r>
      <w:r>
        <w:t xml:space="preserve">. </w:t>
      </w:r>
      <w:r w:rsidR="00277825">
        <w:t>Sinds 2015 behandelt het UNCTAD</w:t>
      </w:r>
      <w:r w:rsidR="00D9307A">
        <w:t>-</w:t>
      </w:r>
      <w:r w:rsidR="00277825">
        <w:t xml:space="preserve">secretariaat veel organisatorische zaken in informele setting, </w:t>
      </w:r>
      <w:r w:rsidR="00935670">
        <w:t xml:space="preserve">waar het </w:t>
      </w:r>
      <w:r w:rsidR="00277825">
        <w:t xml:space="preserve">geen officiële documentatie </w:t>
      </w:r>
      <w:r w:rsidR="00935670">
        <w:t xml:space="preserve">voor </w:t>
      </w:r>
      <w:r w:rsidR="00277825">
        <w:t>beschikbaar</w:t>
      </w:r>
      <w:r w:rsidR="00935670">
        <w:t xml:space="preserve"> stelt</w:t>
      </w:r>
      <w:r w:rsidR="00277825">
        <w:t xml:space="preserve">. </w:t>
      </w:r>
    </w:p>
    <w:p w14:paraId="321796D3" w14:textId="71B1EE4D" w:rsidR="004F476C" w:rsidRDefault="004F476C" w:rsidP="004F476C">
      <w:pPr>
        <w:rPr>
          <w:color w:val="4F81BD"/>
          <w:u w:val="single"/>
        </w:rPr>
      </w:pPr>
    </w:p>
    <w:p w14:paraId="6430C7D8" w14:textId="59449251" w:rsidR="009B7818" w:rsidRDefault="00CF79E5" w:rsidP="004F476C">
      <w:pPr>
        <w:rPr>
          <w:color w:val="4F81BD"/>
          <w:u w:val="single"/>
        </w:rPr>
      </w:pPr>
      <w:r>
        <w:t xml:space="preserve">De technische assistentie van </w:t>
      </w:r>
      <w:r w:rsidR="0077413D">
        <w:t xml:space="preserve">UNCTAD </w:t>
      </w:r>
      <w:r>
        <w:t>wordt veelal</w:t>
      </w:r>
      <w:r w:rsidR="0077413D">
        <w:t xml:space="preserve"> vraaggestuurd</w:t>
      </w:r>
      <w:r>
        <w:t xml:space="preserve"> gegeven</w:t>
      </w:r>
      <w:r w:rsidR="0077413D">
        <w:t xml:space="preserve">. De organisatie werkt goed samen met overheidsinstanties in het toepassen van programma’s, en </w:t>
      </w:r>
      <w:r>
        <w:t xml:space="preserve">in het </w:t>
      </w:r>
      <w:r w:rsidR="0077413D">
        <w:t xml:space="preserve">analyseren van de lokale context. </w:t>
      </w:r>
      <w:r>
        <w:t>Er is veel vraag naar</w:t>
      </w:r>
      <w:r w:rsidR="0077413D">
        <w:t xml:space="preserve"> UNCTAD </w:t>
      </w:r>
      <w:r>
        <w:t>producten</w:t>
      </w:r>
      <w:r w:rsidR="0077413D">
        <w:t xml:space="preserve">: de vraag </w:t>
      </w:r>
      <w:r>
        <w:t>naa</w:t>
      </w:r>
      <w:r w:rsidR="0077413D">
        <w:t xml:space="preserve">r bijvoorbeeld DMFAS, ASYCUDA en de </w:t>
      </w:r>
      <w:r w:rsidR="0077413D">
        <w:rPr>
          <w:i/>
        </w:rPr>
        <w:t>Investment Policy Reviews</w:t>
      </w:r>
      <w:r w:rsidR="0077413D">
        <w:t xml:space="preserve"> overstijgt ruimschoots het aanbod. </w:t>
      </w:r>
      <w:r w:rsidR="00B6554C">
        <w:t xml:space="preserve">Op deze terreinen is de strategie van UNCTAD toereikend. </w:t>
      </w:r>
      <w:r w:rsidR="0077413D">
        <w:t xml:space="preserve">Technische assistentie wordt vaak vormgegeven </w:t>
      </w:r>
      <w:r>
        <w:t>in samenwerking</w:t>
      </w:r>
      <w:r w:rsidR="0077413D">
        <w:t xml:space="preserve"> met andere VN-organisaties en ontwikkelingsbanken. </w:t>
      </w:r>
      <w:r w:rsidR="009B7818" w:rsidRPr="00301CA8">
        <w:t xml:space="preserve">Naast alle VN-organisaties hebben nog 111 andere intergouvernementele organisaties als </w:t>
      </w:r>
      <w:r w:rsidR="009B7818">
        <w:t>waarnemer</w:t>
      </w:r>
      <w:r w:rsidR="009B7818" w:rsidRPr="00301CA8">
        <w:t xml:space="preserve"> toegang tot UNCTAD’s </w:t>
      </w:r>
      <w:r w:rsidR="009B7818" w:rsidRPr="0075229F">
        <w:rPr>
          <w:i/>
        </w:rPr>
        <w:t>Trade and Development Board</w:t>
      </w:r>
      <w:r>
        <w:t xml:space="preserve"> (zie 3.2)</w:t>
      </w:r>
      <w:r w:rsidR="009B7818" w:rsidRPr="00301CA8">
        <w:t>.</w:t>
      </w:r>
    </w:p>
    <w:p w14:paraId="16EA7856" w14:textId="03145E39" w:rsidR="00127D70" w:rsidRDefault="00127D70">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9A513F" w14:paraId="051A7E68" w14:textId="77777777" w:rsidTr="00127D70">
        <w:tc>
          <w:tcPr>
            <w:tcW w:w="6748" w:type="dxa"/>
            <w:tcBorders>
              <w:top w:val="single" w:sz="12" w:space="0" w:color="auto"/>
              <w:left w:val="single" w:sz="12" w:space="0" w:color="auto"/>
              <w:bottom w:val="single" w:sz="12" w:space="0" w:color="auto"/>
            </w:tcBorders>
            <w:shd w:val="clear" w:color="auto" w:fill="D9D9D9"/>
          </w:tcPr>
          <w:p w14:paraId="3C172C9F" w14:textId="77777777" w:rsidR="009A513F" w:rsidRPr="00EA0AA8" w:rsidRDefault="009A513F" w:rsidP="00326699">
            <w:pPr>
              <w:rPr>
                <w:b/>
              </w:rPr>
            </w:pPr>
            <w:r w:rsidRPr="00EA0AA8">
              <w:rPr>
                <w:b/>
              </w:rPr>
              <w:lastRenderedPageBreak/>
              <w:t>Onderdeel</w:t>
            </w:r>
          </w:p>
        </w:tc>
        <w:tc>
          <w:tcPr>
            <w:tcW w:w="949" w:type="dxa"/>
            <w:tcBorders>
              <w:top w:val="single" w:sz="12" w:space="0" w:color="auto"/>
              <w:bottom w:val="single" w:sz="12" w:space="0" w:color="auto"/>
              <w:right w:val="single" w:sz="12" w:space="0" w:color="auto"/>
            </w:tcBorders>
            <w:shd w:val="clear" w:color="auto" w:fill="D9D9D9"/>
          </w:tcPr>
          <w:p w14:paraId="60179E23" w14:textId="77777777" w:rsidR="009A513F" w:rsidRPr="00EA0AA8" w:rsidRDefault="009A513F" w:rsidP="00326699">
            <w:pPr>
              <w:rPr>
                <w:b/>
              </w:rPr>
            </w:pPr>
            <w:r w:rsidRPr="00EA0AA8">
              <w:rPr>
                <w:b/>
              </w:rPr>
              <w:t>Score</w:t>
            </w:r>
          </w:p>
        </w:tc>
      </w:tr>
      <w:tr w:rsidR="009A513F" w14:paraId="130203F9" w14:textId="77777777" w:rsidTr="00127D70">
        <w:tc>
          <w:tcPr>
            <w:tcW w:w="6748" w:type="dxa"/>
            <w:tcBorders>
              <w:top w:val="single" w:sz="12" w:space="0" w:color="auto"/>
              <w:left w:val="single" w:sz="12" w:space="0" w:color="auto"/>
            </w:tcBorders>
            <w:shd w:val="clear" w:color="auto" w:fill="auto"/>
          </w:tcPr>
          <w:p w14:paraId="64701F84" w14:textId="77777777" w:rsidR="009A513F" w:rsidRDefault="00DE2DA8" w:rsidP="00326699">
            <w:r>
              <w:t>Kernmandaat / Prioriteiten / Mission Creep</w:t>
            </w:r>
          </w:p>
        </w:tc>
        <w:tc>
          <w:tcPr>
            <w:tcW w:w="949" w:type="dxa"/>
            <w:tcBorders>
              <w:top w:val="single" w:sz="12" w:space="0" w:color="auto"/>
              <w:right w:val="single" w:sz="12" w:space="0" w:color="auto"/>
            </w:tcBorders>
            <w:shd w:val="clear" w:color="auto" w:fill="auto"/>
          </w:tcPr>
          <w:p w14:paraId="3C75EC96" w14:textId="78E9A0FC" w:rsidR="009A513F" w:rsidRDefault="002216FF" w:rsidP="00326699">
            <w:r>
              <w:t>2</w:t>
            </w:r>
          </w:p>
        </w:tc>
      </w:tr>
      <w:tr w:rsidR="009A513F" w14:paraId="23D943CE" w14:textId="77777777" w:rsidTr="00127D70">
        <w:tc>
          <w:tcPr>
            <w:tcW w:w="6748" w:type="dxa"/>
            <w:tcBorders>
              <w:left w:val="single" w:sz="12" w:space="0" w:color="auto"/>
            </w:tcBorders>
            <w:shd w:val="clear" w:color="auto" w:fill="auto"/>
          </w:tcPr>
          <w:p w14:paraId="4F5F13E4" w14:textId="77777777" w:rsidR="009A513F" w:rsidRDefault="00DE2DA8" w:rsidP="00326699">
            <w:r>
              <w:t>Beleidsstrategie</w:t>
            </w:r>
          </w:p>
        </w:tc>
        <w:tc>
          <w:tcPr>
            <w:tcW w:w="949" w:type="dxa"/>
            <w:tcBorders>
              <w:right w:val="single" w:sz="12" w:space="0" w:color="auto"/>
            </w:tcBorders>
            <w:shd w:val="clear" w:color="auto" w:fill="auto"/>
          </w:tcPr>
          <w:p w14:paraId="0D8AE0A8" w14:textId="39D59642" w:rsidR="009A513F" w:rsidRDefault="00B6554C" w:rsidP="00326699">
            <w:r>
              <w:t>3</w:t>
            </w:r>
          </w:p>
        </w:tc>
      </w:tr>
      <w:tr w:rsidR="009A513F" w14:paraId="1814D710" w14:textId="77777777" w:rsidTr="00127D70">
        <w:tc>
          <w:tcPr>
            <w:tcW w:w="6748" w:type="dxa"/>
            <w:tcBorders>
              <w:left w:val="single" w:sz="12" w:space="0" w:color="auto"/>
              <w:bottom w:val="single" w:sz="4" w:space="0" w:color="auto"/>
            </w:tcBorders>
            <w:shd w:val="clear" w:color="auto" w:fill="auto"/>
          </w:tcPr>
          <w:p w14:paraId="610B0735" w14:textId="77777777" w:rsidR="009A513F" w:rsidRPr="007B7BB5" w:rsidRDefault="00DE2DA8" w:rsidP="00326699">
            <w:r w:rsidRPr="007B7BB5">
              <w:t>Theory of Change</w:t>
            </w:r>
          </w:p>
        </w:tc>
        <w:tc>
          <w:tcPr>
            <w:tcW w:w="949" w:type="dxa"/>
            <w:tcBorders>
              <w:right w:val="single" w:sz="12" w:space="0" w:color="auto"/>
            </w:tcBorders>
            <w:shd w:val="clear" w:color="auto" w:fill="auto"/>
          </w:tcPr>
          <w:p w14:paraId="7F206021" w14:textId="169F1571" w:rsidR="009A513F" w:rsidRDefault="007B7BB5" w:rsidP="00326699">
            <w:r>
              <w:t>2</w:t>
            </w:r>
          </w:p>
        </w:tc>
      </w:tr>
      <w:tr w:rsidR="009A513F" w14:paraId="738EFBE2" w14:textId="77777777" w:rsidTr="00127D70">
        <w:tc>
          <w:tcPr>
            <w:tcW w:w="6748" w:type="dxa"/>
            <w:tcBorders>
              <w:top w:val="single" w:sz="4" w:space="0" w:color="auto"/>
              <w:left w:val="single" w:sz="12" w:space="0" w:color="auto"/>
              <w:bottom w:val="single" w:sz="4" w:space="0" w:color="auto"/>
            </w:tcBorders>
            <w:shd w:val="clear" w:color="auto" w:fill="auto"/>
          </w:tcPr>
          <w:p w14:paraId="728B4B10" w14:textId="77777777" w:rsidR="009A513F" w:rsidRDefault="00DE2DA8" w:rsidP="00326699">
            <w:r>
              <w:t>Aansluiting Nationaal beleid / Armoedestrategie</w:t>
            </w:r>
          </w:p>
        </w:tc>
        <w:tc>
          <w:tcPr>
            <w:tcW w:w="949" w:type="dxa"/>
            <w:tcBorders>
              <w:bottom w:val="single" w:sz="4" w:space="0" w:color="auto"/>
              <w:right w:val="single" w:sz="12" w:space="0" w:color="auto"/>
            </w:tcBorders>
            <w:shd w:val="clear" w:color="auto" w:fill="auto"/>
          </w:tcPr>
          <w:p w14:paraId="64CBA53D" w14:textId="225BDAE3" w:rsidR="009A513F" w:rsidRDefault="00FC463F" w:rsidP="00326699">
            <w:r>
              <w:t>4</w:t>
            </w:r>
          </w:p>
        </w:tc>
      </w:tr>
      <w:tr w:rsidR="002A310E" w14:paraId="76FB8937" w14:textId="77777777" w:rsidTr="00127D70">
        <w:tc>
          <w:tcPr>
            <w:tcW w:w="6748" w:type="dxa"/>
            <w:tcBorders>
              <w:top w:val="single" w:sz="4" w:space="0" w:color="auto"/>
              <w:left w:val="single" w:sz="12" w:space="0" w:color="auto"/>
              <w:bottom w:val="single" w:sz="4" w:space="0" w:color="auto"/>
            </w:tcBorders>
            <w:shd w:val="clear" w:color="auto" w:fill="auto"/>
          </w:tcPr>
          <w:p w14:paraId="4F620E6D" w14:textId="77777777" w:rsidR="002A310E" w:rsidRDefault="005F3FB6" w:rsidP="00326699">
            <w:r>
              <w:t>Verantwoording</w:t>
            </w:r>
            <w:r w:rsidR="00BA3472">
              <w:t xml:space="preserve"> </w:t>
            </w:r>
          </w:p>
        </w:tc>
        <w:tc>
          <w:tcPr>
            <w:tcW w:w="949" w:type="dxa"/>
            <w:tcBorders>
              <w:bottom w:val="single" w:sz="4" w:space="0" w:color="auto"/>
              <w:right w:val="single" w:sz="12" w:space="0" w:color="auto"/>
            </w:tcBorders>
            <w:shd w:val="clear" w:color="auto" w:fill="auto"/>
          </w:tcPr>
          <w:p w14:paraId="7FD05937" w14:textId="3022A9DA" w:rsidR="002A310E" w:rsidRDefault="00E60F41" w:rsidP="00326699">
            <w:r>
              <w:t>1</w:t>
            </w:r>
          </w:p>
        </w:tc>
      </w:tr>
      <w:tr w:rsidR="00BA3472" w14:paraId="5DBADC33" w14:textId="77777777" w:rsidTr="00127D70">
        <w:tc>
          <w:tcPr>
            <w:tcW w:w="6748" w:type="dxa"/>
            <w:tcBorders>
              <w:top w:val="single" w:sz="4" w:space="0" w:color="auto"/>
              <w:left w:val="single" w:sz="12" w:space="0" w:color="auto"/>
              <w:bottom w:val="single" w:sz="12" w:space="0" w:color="auto"/>
            </w:tcBorders>
            <w:shd w:val="clear" w:color="auto" w:fill="auto"/>
          </w:tcPr>
          <w:p w14:paraId="2ACBF519" w14:textId="77777777" w:rsidR="00BA3472" w:rsidRDefault="00BA3472" w:rsidP="003E0DD1">
            <w:r>
              <w:t xml:space="preserve">Aanspreekbaarheid </w:t>
            </w:r>
            <w:r w:rsidR="003E0DD1">
              <w:t>voor overige belanghebbenden</w:t>
            </w:r>
          </w:p>
        </w:tc>
        <w:tc>
          <w:tcPr>
            <w:tcW w:w="949" w:type="dxa"/>
            <w:tcBorders>
              <w:bottom w:val="single" w:sz="12" w:space="0" w:color="auto"/>
              <w:right w:val="single" w:sz="12" w:space="0" w:color="auto"/>
            </w:tcBorders>
            <w:shd w:val="clear" w:color="auto" w:fill="auto"/>
          </w:tcPr>
          <w:p w14:paraId="6D868C22" w14:textId="1CC6435B" w:rsidR="00BA3472" w:rsidRDefault="00C520D9" w:rsidP="00326699">
            <w:r>
              <w:t>3</w:t>
            </w:r>
          </w:p>
        </w:tc>
      </w:tr>
      <w:tr w:rsidR="009A513F" w14:paraId="1F97F442" w14:textId="77777777" w:rsidTr="00127D70">
        <w:tc>
          <w:tcPr>
            <w:tcW w:w="6748" w:type="dxa"/>
            <w:tcBorders>
              <w:top w:val="single" w:sz="12" w:space="0" w:color="auto"/>
              <w:left w:val="single" w:sz="12" w:space="0" w:color="auto"/>
              <w:bottom w:val="single" w:sz="12" w:space="0" w:color="auto"/>
            </w:tcBorders>
            <w:shd w:val="clear" w:color="auto" w:fill="D0CECE"/>
          </w:tcPr>
          <w:p w14:paraId="649E8770" w14:textId="77777777" w:rsidR="009A513F" w:rsidRPr="00EA0AA8" w:rsidRDefault="009A513F" w:rsidP="00326699">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30BEB7A5" w14:textId="01E9B30C" w:rsidR="009A513F" w:rsidRPr="00EA0AA8" w:rsidRDefault="00E60F41" w:rsidP="00326699">
            <w:pPr>
              <w:rPr>
                <w:b/>
              </w:rPr>
            </w:pPr>
            <w:r>
              <w:rPr>
                <w:b/>
              </w:rPr>
              <w:t>2</w:t>
            </w:r>
          </w:p>
        </w:tc>
      </w:tr>
    </w:tbl>
    <w:p w14:paraId="23824E1D" w14:textId="77777777" w:rsidR="009A513F" w:rsidRDefault="009A513F" w:rsidP="00326699"/>
    <w:p w14:paraId="3F02DDBA" w14:textId="70A6D439" w:rsidR="00CD5427" w:rsidRDefault="00326699" w:rsidP="00046DDB">
      <w:pPr>
        <w:ind w:firstLine="227"/>
      </w:pPr>
      <w:r w:rsidRPr="00193994">
        <w:t>Verandering</w:t>
      </w:r>
      <w:r w:rsidR="009A513F">
        <w:t xml:space="preserve"> sinds 2015</w:t>
      </w:r>
      <w:r>
        <w:t>:</w:t>
      </w:r>
      <w:r w:rsidR="005869DA">
        <w:t xml:space="preserve"> </w:t>
      </w:r>
      <w:r>
        <w:t>neutraal</w:t>
      </w:r>
      <w:r w:rsidRPr="00193994">
        <w:t xml:space="preserve"> = </w:t>
      </w:r>
      <w:r w:rsidRPr="00193994">
        <w:sym w:font="Wingdings" w:char="F0E8"/>
      </w:r>
    </w:p>
    <w:p w14:paraId="6C01075A" w14:textId="77777777" w:rsidR="002A310E" w:rsidRDefault="002A310E" w:rsidP="00326699"/>
    <w:p w14:paraId="11D50001" w14:textId="34554F78" w:rsidR="008F1AEF" w:rsidRDefault="00FA06E0" w:rsidP="00CD7B6F">
      <w:r>
        <w:t xml:space="preserve">Het UNCTAD-secretariaat heeft een aantal verbetertrajecten ingezet. Hoewel de resultaten hiervan nog zichtbaar moeten worden, is de verwachting dat deze de organisatie zullen versterken. </w:t>
      </w:r>
    </w:p>
    <w:p w14:paraId="47D67207" w14:textId="77777777" w:rsidR="004706A9" w:rsidRDefault="004706A9" w:rsidP="00CD7B6F"/>
    <w:p w14:paraId="28E5431A" w14:textId="08E1B47F" w:rsidR="00CD5427" w:rsidRPr="005869DA" w:rsidRDefault="005869DA" w:rsidP="00ED4248">
      <w:pPr>
        <w:pStyle w:val="Heading2"/>
        <w:numPr>
          <w:ilvl w:val="1"/>
          <w:numId w:val="20"/>
        </w:numPr>
        <w:tabs>
          <w:tab w:val="left" w:pos="-1162"/>
          <w:tab w:val="left" w:pos="0"/>
        </w:tabs>
        <w:spacing w:line="240" w:lineRule="auto"/>
      </w:pPr>
      <w:r>
        <w:t xml:space="preserve"> </w:t>
      </w:r>
      <w:r>
        <w:tab/>
      </w:r>
      <w:bookmarkStart w:id="29" w:name="_Toc491267895"/>
      <w:r w:rsidR="00032C0E" w:rsidRPr="005869DA">
        <w:t>Resultaatgerichtheid en transparantie</w:t>
      </w:r>
      <w:bookmarkEnd w:id="29"/>
    </w:p>
    <w:p w14:paraId="37DD051D" w14:textId="6905F32A" w:rsidR="00F32682" w:rsidRDefault="00F32682" w:rsidP="005869DA">
      <w:r>
        <w:t xml:space="preserve">Het management van </w:t>
      </w:r>
      <w:r w:rsidR="00EE4FBE">
        <w:t xml:space="preserve">UNCTAD </w:t>
      </w:r>
      <w:r>
        <w:t xml:space="preserve">heeft een hervormingstraject ingezet, </w:t>
      </w:r>
      <w:r w:rsidR="00EE4FBE">
        <w:t xml:space="preserve">met name op het gebied van </w:t>
      </w:r>
      <w:r w:rsidR="00EE4FBE" w:rsidRPr="0075229F">
        <w:rPr>
          <w:i/>
        </w:rPr>
        <w:t>Results-Based Management</w:t>
      </w:r>
      <w:r w:rsidR="00EE4FBE">
        <w:t xml:space="preserve"> (RBM).</w:t>
      </w:r>
      <w:r>
        <w:t xml:space="preserve"> Directe aanleiding hiervoor was een kritisch </w:t>
      </w:r>
      <w:r w:rsidR="005869DA">
        <w:t>JIU-rapport</w:t>
      </w:r>
      <w:r>
        <w:t xml:space="preserve"> in 2012, waarin een gebrek aan </w:t>
      </w:r>
      <w:r w:rsidR="00EE4FBE">
        <w:t xml:space="preserve">RBM </w:t>
      </w:r>
      <w:r>
        <w:t>werd geconstateerd</w:t>
      </w:r>
      <w:r w:rsidR="00EE4FBE">
        <w:t>.</w:t>
      </w:r>
      <w:r w:rsidR="00FE2B4E">
        <w:t xml:space="preserve"> </w:t>
      </w:r>
      <w:r w:rsidR="0065339B">
        <w:t>Als gevolg hiervan presenteerde UNCTAD i</w:t>
      </w:r>
      <w:r w:rsidR="00FE2B4E" w:rsidRPr="004D651F">
        <w:t>n april 2013 een nieuw RBM-</w:t>
      </w:r>
      <w:r w:rsidR="00FE2B4E">
        <w:t>raamwerk</w:t>
      </w:r>
      <w:r w:rsidR="00EE4FBE" w:rsidRPr="00EE4FBE">
        <w:t xml:space="preserve"> en </w:t>
      </w:r>
      <w:r w:rsidR="0065339B">
        <w:t xml:space="preserve">werd </w:t>
      </w:r>
      <w:r w:rsidR="00EE4FBE" w:rsidRPr="00EE4FBE">
        <w:t>capaciteit gecre</w:t>
      </w:r>
      <w:r w:rsidR="00EE4FBE">
        <w:t xml:space="preserve">ëerd om divisies binnen UNCTAD te assisteren om </w:t>
      </w:r>
      <w:r w:rsidR="0075229F">
        <w:t>voortgang</w:t>
      </w:r>
      <w:r w:rsidR="00EE4FBE">
        <w:t xml:space="preserve"> zichtbaar te maken in resultaten en indicatoren.</w:t>
      </w:r>
      <w:r w:rsidR="00FE2B4E">
        <w:t xml:space="preserve"> </w:t>
      </w:r>
      <w:r w:rsidR="00953CFA">
        <w:t>Voor activiteiten die onder het reguliere budget vallen</w:t>
      </w:r>
      <w:r w:rsidR="000703F0">
        <w:t>,</w:t>
      </w:r>
      <w:r w:rsidR="00953CFA">
        <w:t xml:space="preserve"> is UNCTAD onderdeel van het VN Secretariaat, waar sinds 2002 sprake is van </w:t>
      </w:r>
      <w:r w:rsidR="00953CFA" w:rsidRPr="0075229F">
        <w:rPr>
          <w:i/>
        </w:rPr>
        <w:t>Results-Based Budgeting</w:t>
      </w:r>
      <w:r w:rsidR="00953CFA">
        <w:t>.</w:t>
      </w:r>
    </w:p>
    <w:p w14:paraId="4A87C4B0" w14:textId="2AB6F5F0" w:rsidR="0080352B" w:rsidRDefault="0080352B" w:rsidP="005869DA"/>
    <w:p w14:paraId="351A2EA4" w14:textId="43E03410" w:rsidR="00544472" w:rsidRDefault="00FE2B4E" w:rsidP="005869DA">
      <w:r w:rsidRPr="001F51D1">
        <w:t xml:space="preserve">Het </w:t>
      </w:r>
      <w:r w:rsidRPr="00582E3C">
        <w:t xml:space="preserve">implementeren van RBM stond ook centraal </w:t>
      </w:r>
      <w:r w:rsidR="00173C96" w:rsidRPr="00582E3C">
        <w:t xml:space="preserve">in </w:t>
      </w:r>
      <w:r w:rsidRPr="00582E3C">
        <w:t xml:space="preserve">de onderhandelingen tijdens </w:t>
      </w:r>
      <w:r w:rsidR="008D57D1" w:rsidRPr="00582E3C">
        <w:t>UNCTAD XIV</w:t>
      </w:r>
      <w:r w:rsidR="00D9307A">
        <w:t>.</w:t>
      </w:r>
      <w:r w:rsidRPr="00582E3C">
        <w:t xml:space="preserve"> In het nieuwe vierjaarlijkse </w:t>
      </w:r>
      <w:r w:rsidR="008D57D1" w:rsidRPr="00582E3C">
        <w:t>werk</w:t>
      </w:r>
      <w:r w:rsidRPr="00582E3C">
        <w:t xml:space="preserve">plan wordt </w:t>
      </w:r>
      <w:r w:rsidR="00DD640A" w:rsidRPr="00582E3C">
        <w:t>het belang van R</w:t>
      </w:r>
      <w:r w:rsidR="00BE5BB2" w:rsidRPr="00582E3C">
        <w:t>B</w:t>
      </w:r>
      <w:r w:rsidR="00DD640A" w:rsidRPr="00582E3C">
        <w:t xml:space="preserve">M bevestigd en </w:t>
      </w:r>
      <w:r w:rsidR="000703F0">
        <w:t xml:space="preserve">is </w:t>
      </w:r>
      <w:r w:rsidR="00DD640A" w:rsidRPr="00582E3C">
        <w:t>overeengekomen dat de gestarte implementatie onverminderd door zal gaan</w:t>
      </w:r>
      <w:r w:rsidRPr="00582E3C">
        <w:t>.</w:t>
      </w:r>
      <w:r w:rsidR="00DD640A" w:rsidRPr="00582E3C">
        <w:t xml:space="preserve"> Voormalig DSG Reiter heeft leden met enige regelmaat informeel op de hoogte gehouden van de status van dit proces. Hiermee zou een kentering moeten komen in de tot dusverre enigszins summiere </w:t>
      </w:r>
      <w:r w:rsidR="00D52AF1" w:rsidRPr="00582E3C">
        <w:t>en informele</w:t>
      </w:r>
      <w:r w:rsidR="00DD640A" w:rsidRPr="00582E3C">
        <w:t xml:space="preserve"> informatievoorziening door het Secretariaat. </w:t>
      </w:r>
      <w:r w:rsidR="00F32682" w:rsidRPr="00582E3C">
        <w:t>Volgens het management</w:t>
      </w:r>
      <w:r w:rsidR="00F32682">
        <w:t xml:space="preserve"> van UNCTAD zijn alle aanbevelingen van de JIU inmiddels geïmplementeerd, maar hiervan is geen formele en onafhankelijke bevestiging beschikbaar: sinds het rapport uit 2012 is geen nieuwe evaluatie </w:t>
      </w:r>
      <w:r w:rsidR="00F513B9">
        <w:t>uitgevoerd naar de mate waarin de JIU</w:t>
      </w:r>
      <w:r w:rsidR="00045993">
        <w:t>-</w:t>
      </w:r>
      <w:r w:rsidR="00F513B9">
        <w:t>aanbevelingen zijn overgenomen en RBM is</w:t>
      </w:r>
      <w:r w:rsidR="00E16432">
        <w:t xml:space="preserve"> geïmplementeerd. </w:t>
      </w:r>
    </w:p>
    <w:p w14:paraId="487C073E" w14:textId="77777777" w:rsidR="00544472" w:rsidRDefault="00544472" w:rsidP="005869DA"/>
    <w:p w14:paraId="7DA470E0" w14:textId="66574F8F" w:rsidR="00135A17" w:rsidRDefault="00135A17" w:rsidP="005869DA">
      <w:r>
        <w:t xml:space="preserve">Voor wat betreft het Technische Assistentieprogramma </w:t>
      </w:r>
      <w:r w:rsidR="00695F27">
        <w:t>wordt voortgang geboekt bij</w:t>
      </w:r>
      <w:r w:rsidR="00F32682">
        <w:t xml:space="preserve"> h</w:t>
      </w:r>
      <w:r w:rsidR="005C676F">
        <w:t>et proces RBM toe te passen op de drie kerntaken van UNCTAD</w:t>
      </w:r>
      <w:r w:rsidR="00262AD4">
        <w:t>: het managementinstrument is inmiddels vast onderdeel bij het ontwerp en de uitvoering van projecten en programma’s gericht op technische assistentie en UNCTAD-medewerkers zijn getraind in het gebruik ervan.</w:t>
      </w:r>
      <w:r w:rsidR="005C676F">
        <w:t xml:space="preserve"> </w:t>
      </w:r>
      <w:r w:rsidR="003A48FD">
        <w:t xml:space="preserve">Voor de 29 TA-programma’s is ook een </w:t>
      </w:r>
      <w:r w:rsidR="003A48FD" w:rsidRPr="00C82352">
        <w:rPr>
          <w:i/>
        </w:rPr>
        <w:t>Technical Cooperation Results Framework</w:t>
      </w:r>
      <w:r w:rsidR="003A48FD">
        <w:t xml:space="preserve"> opgesteld, dat gekoppeld is aan de </w:t>
      </w:r>
      <w:r w:rsidR="00D9307A">
        <w:t>SDG</w:t>
      </w:r>
      <w:r w:rsidR="005869DA">
        <w:t>’</w:t>
      </w:r>
      <w:r w:rsidR="00D9307A">
        <w:t>s</w:t>
      </w:r>
      <w:r>
        <w:t xml:space="preserve">. Vooruitgang in implementatie </w:t>
      </w:r>
      <w:r w:rsidR="00463659">
        <w:t>werd</w:t>
      </w:r>
      <w:r>
        <w:t xml:space="preserve"> enigszins gehinderd door het ontbreken van een ondersteunend IT-systeem voor RBM en de intrinsieke weerstand tegen vernieuwing. </w:t>
      </w:r>
    </w:p>
    <w:p w14:paraId="5CE64E10" w14:textId="77777777" w:rsidR="00135A17" w:rsidRDefault="00135A17" w:rsidP="00FE2B4E"/>
    <w:p w14:paraId="592EC22B" w14:textId="616BA8E0" w:rsidR="00FE2B4E" w:rsidRDefault="00262AD4" w:rsidP="00FE2B4E">
      <w:r>
        <w:t>D</w:t>
      </w:r>
      <w:r w:rsidR="005C676F">
        <w:t xml:space="preserve">e onderzoekstak biedt </w:t>
      </w:r>
      <w:r>
        <w:t>echter</w:t>
      </w:r>
      <w:r w:rsidR="005C676F">
        <w:t xml:space="preserve"> meer uitdagingen </w:t>
      </w:r>
      <w:r w:rsidR="00135A17">
        <w:t>bij de implementatie van een organisatie</w:t>
      </w:r>
      <w:r w:rsidR="000703F0">
        <w:t>-</w:t>
      </w:r>
      <w:r w:rsidR="00135A17">
        <w:t>brede RBM-systematiek</w:t>
      </w:r>
      <w:r w:rsidR="00652BB6">
        <w:t>. Er is vooruitgang met het ontwikkelen van de toepassing van het RBM-systeem op de onderzoeksactiviteiten, maar daadwerkelijke implementatie moet nog van start gaan. Binnen het lidmaatschap is dit ook controversieel omdat RBM gezien wordt als een bedreiging van de mogelijkheden voor lidstaten om de onderzoeksagenda te sturen. D</w:t>
      </w:r>
      <w:r w:rsidR="00FE2B4E">
        <w:t xml:space="preserve">e Investeringsdivisie </w:t>
      </w:r>
      <w:r w:rsidR="00652BB6">
        <w:t xml:space="preserve">is </w:t>
      </w:r>
      <w:r w:rsidR="00FE2B4E">
        <w:t xml:space="preserve">ook op </w:t>
      </w:r>
      <w:r w:rsidR="00FE2B4E">
        <w:lastRenderedPageBreak/>
        <w:t>dit punt weer de uitzondering</w:t>
      </w:r>
      <w:r w:rsidR="005C676F">
        <w:t xml:space="preserve">: hier is toepassing van RBM </w:t>
      </w:r>
      <w:r>
        <w:t>al reeds lange tijd gemeengoed</w:t>
      </w:r>
      <w:r w:rsidR="005C676F">
        <w:t>. Z</w:t>
      </w:r>
      <w:r w:rsidR="00FE2B4E">
        <w:t xml:space="preserve">o zijn de </w:t>
      </w:r>
      <w:r w:rsidR="00FE2B4E">
        <w:rPr>
          <w:i/>
        </w:rPr>
        <w:t>Investment Policy Reviews</w:t>
      </w:r>
      <w:r w:rsidR="00FE2B4E">
        <w:t xml:space="preserve"> gericht op de verbetering van de scores van de beoordeelde landen op de </w:t>
      </w:r>
      <w:r w:rsidR="00FE2B4E" w:rsidRPr="0030137F">
        <w:rPr>
          <w:i/>
        </w:rPr>
        <w:t>Doing Business Index</w:t>
      </w:r>
      <w:r w:rsidR="00FE2B4E">
        <w:rPr>
          <w:i/>
        </w:rPr>
        <w:t>.</w:t>
      </w:r>
    </w:p>
    <w:p w14:paraId="344035FA" w14:textId="756E2D73" w:rsidR="00E220A9" w:rsidRDefault="00E220A9" w:rsidP="004706A9"/>
    <w:p w14:paraId="30D7E329" w14:textId="4BBCE72B" w:rsidR="005F1893" w:rsidRDefault="00E220A9" w:rsidP="004706A9">
      <w:pPr>
        <w:rPr>
          <w:b/>
        </w:rPr>
      </w:pPr>
      <w:r>
        <w:t xml:space="preserve">De resultaten van de activiteiten van UNCTAD worden onder meer zichtbaar gemaakt in de jaarverslagen, waarbij in 2015 een kentering plaatsvond: dit rapport werd gekenmerkt door een helderder lay-out; meer focus op behaalde resultaten; en een duidelijke koppeling met de </w:t>
      </w:r>
      <w:r w:rsidR="00D9307A">
        <w:t>SDG</w:t>
      </w:r>
      <w:r w:rsidR="005869DA">
        <w:t>’</w:t>
      </w:r>
      <w:r w:rsidR="00D9307A">
        <w:t>s</w:t>
      </w:r>
      <w:r w:rsidR="007E274F">
        <w:t>. Wel ontbreekt in deze jaarverslagen een gedetailleerd financieel overzicht</w:t>
      </w:r>
    </w:p>
    <w:p w14:paraId="3CE976C7" w14:textId="77777777" w:rsidR="005F1893" w:rsidRDefault="005F1893" w:rsidP="004706A9">
      <w:pPr>
        <w:rPr>
          <w:b/>
        </w:rPr>
      </w:pPr>
    </w:p>
    <w:p w14:paraId="00D633A0" w14:textId="5FDE5F6E" w:rsidR="00FE2B4E" w:rsidRDefault="00333D76" w:rsidP="004706A9">
      <w:r>
        <w:t xml:space="preserve">UNCTAD </w:t>
      </w:r>
      <w:r w:rsidR="00196649">
        <w:t xml:space="preserve">publiceert vooralsnog niet haar middelenallocatie volgens de </w:t>
      </w:r>
      <w:r w:rsidR="001B4DD3" w:rsidRPr="0075229F">
        <w:rPr>
          <w:i/>
        </w:rPr>
        <w:t xml:space="preserve">International Aid Transparency Initiative </w:t>
      </w:r>
      <w:r w:rsidR="001B4DD3">
        <w:t>(</w:t>
      </w:r>
      <w:r w:rsidR="00196649">
        <w:t>IATI</w:t>
      </w:r>
      <w:r w:rsidR="001B4DD3">
        <w:t>)</w:t>
      </w:r>
      <w:r w:rsidR="00196649">
        <w:t xml:space="preserve"> standaarden. </w:t>
      </w:r>
      <w:r w:rsidR="00D81BCC">
        <w:t xml:space="preserve">Anders dan veel andere VN organisaties heeft UNCTAD zich nog niet gecommitteerd aan de implementatie </w:t>
      </w:r>
      <w:r w:rsidR="00CF09FF">
        <w:t>hiervan</w:t>
      </w:r>
      <w:r w:rsidR="00D81BCC">
        <w:t xml:space="preserve">. </w:t>
      </w:r>
    </w:p>
    <w:p w14:paraId="6A05D1CD" w14:textId="77777777" w:rsidR="00E20A86" w:rsidRDefault="00E20A86"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E20A86" w:rsidRPr="00EA0AA8" w14:paraId="18B0D9A4" w14:textId="77777777" w:rsidTr="00B06CE6">
        <w:tc>
          <w:tcPr>
            <w:tcW w:w="6912" w:type="dxa"/>
            <w:tcBorders>
              <w:top w:val="single" w:sz="12" w:space="0" w:color="auto"/>
              <w:left w:val="single" w:sz="12" w:space="0" w:color="auto"/>
              <w:bottom w:val="single" w:sz="12" w:space="0" w:color="auto"/>
            </w:tcBorders>
            <w:shd w:val="clear" w:color="auto" w:fill="D0CECE"/>
          </w:tcPr>
          <w:p w14:paraId="7C4E9F9A" w14:textId="77777777" w:rsidR="00E20A86" w:rsidRPr="00EA0AA8" w:rsidRDefault="00E20A86"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6F4DD9FE" w14:textId="77777777" w:rsidR="00E20A86" w:rsidRPr="00EA0AA8" w:rsidRDefault="00E20A86" w:rsidP="00382AE3">
            <w:pPr>
              <w:rPr>
                <w:b/>
              </w:rPr>
            </w:pPr>
            <w:r w:rsidRPr="00EA0AA8">
              <w:rPr>
                <w:b/>
              </w:rPr>
              <w:t>Score</w:t>
            </w:r>
          </w:p>
        </w:tc>
      </w:tr>
      <w:tr w:rsidR="00E20A86" w14:paraId="45A3F0D6" w14:textId="77777777" w:rsidTr="00382AE3">
        <w:tc>
          <w:tcPr>
            <w:tcW w:w="6912" w:type="dxa"/>
            <w:tcBorders>
              <w:top w:val="single" w:sz="12" w:space="0" w:color="auto"/>
              <w:left w:val="single" w:sz="12" w:space="0" w:color="auto"/>
            </w:tcBorders>
            <w:shd w:val="clear" w:color="auto" w:fill="auto"/>
          </w:tcPr>
          <w:p w14:paraId="539A1F80" w14:textId="77777777" w:rsidR="00E20A86" w:rsidRDefault="00E20A86" w:rsidP="00382AE3">
            <w:r>
              <w:t>RBM en RBB</w:t>
            </w:r>
          </w:p>
        </w:tc>
        <w:tc>
          <w:tcPr>
            <w:tcW w:w="955" w:type="dxa"/>
            <w:tcBorders>
              <w:top w:val="single" w:sz="12" w:space="0" w:color="auto"/>
              <w:right w:val="single" w:sz="12" w:space="0" w:color="auto"/>
            </w:tcBorders>
            <w:shd w:val="clear" w:color="auto" w:fill="auto"/>
          </w:tcPr>
          <w:p w14:paraId="5AB750CF" w14:textId="6AE7962D" w:rsidR="00E20A86" w:rsidRDefault="00B96467" w:rsidP="00A65201">
            <w:pPr>
              <w:jc w:val="center"/>
            </w:pPr>
            <w:r>
              <w:t>2</w:t>
            </w:r>
          </w:p>
        </w:tc>
      </w:tr>
      <w:tr w:rsidR="00E20A86" w14:paraId="11863BAA" w14:textId="77777777" w:rsidTr="00382AE3">
        <w:tc>
          <w:tcPr>
            <w:tcW w:w="6912" w:type="dxa"/>
            <w:tcBorders>
              <w:left w:val="single" w:sz="12" w:space="0" w:color="auto"/>
            </w:tcBorders>
            <w:shd w:val="clear" w:color="auto" w:fill="auto"/>
          </w:tcPr>
          <w:p w14:paraId="3D5B2134" w14:textId="77777777" w:rsidR="00E20A86" w:rsidRDefault="00E20A86" w:rsidP="00382AE3">
            <w:r>
              <w:t>Inzichtelijk maken resultaten</w:t>
            </w:r>
          </w:p>
        </w:tc>
        <w:tc>
          <w:tcPr>
            <w:tcW w:w="955" w:type="dxa"/>
            <w:tcBorders>
              <w:right w:val="single" w:sz="12" w:space="0" w:color="auto"/>
            </w:tcBorders>
            <w:shd w:val="clear" w:color="auto" w:fill="auto"/>
          </w:tcPr>
          <w:p w14:paraId="6C158B19" w14:textId="29E1997A" w:rsidR="00E20A86" w:rsidRDefault="00B96467" w:rsidP="00A65201">
            <w:pPr>
              <w:jc w:val="center"/>
            </w:pPr>
            <w:r>
              <w:t>2</w:t>
            </w:r>
          </w:p>
        </w:tc>
      </w:tr>
      <w:tr w:rsidR="00E20A86" w14:paraId="5D3183ED" w14:textId="77777777" w:rsidTr="00382AE3">
        <w:tc>
          <w:tcPr>
            <w:tcW w:w="6912" w:type="dxa"/>
            <w:tcBorders>
              <w:left w:val="single" w:sz="12" w:space="0" w:color="auto"/>
            </w:tcBorders>
            <w:shd w:val="clear" w:color="auto" w:fill="auto"/>
          </w:tcPr>
          <w:p w14:paraId="65ABACB7" w14:textId="77777777" w:rsidR="00E20A86" w:rsidRDefault="00E20A86" w:rsidP="00382AE3">
            <w:r>
              <w:t>Inzichtelijk maken allocatie van middelen (o.a. IATI)</w:t>
            </w:r>
          </w:p>
        </w:tc>
        <w:tc>
          <w:tcPr>
            <w:tcW w:w="955" w:type="dxa"/>
            <w:tcBorders>
              <w:right w:val="single" w:sz="12" w:space="0" w:color="auto"/>
            </w:tcBorders>
            <w:shd w:val="clear" w:color="auto" w:fill="auto"/>
          </w:tcPr>
          <w:p w14:paraId="060DDF05" w14:textId="2EAD3CC6" w:rsidR="00E20A86" w:rsidRDefault="00B96467" w:rsidP="00A65201">
            <w:pPr>
              <w:jc w:val="center"/>
            </w:pPr>
            <w:r>
              <w:t>2</w:t>
            </w:r>
          </w:p>
        </w:tc>
      </w:tr>
      <w:tr w:rsidR="00E20A86" w14:paraId="28A127F8" w14:textId="77777777" w:rsidTr="00382AE3">
        <w:tc>
          <w:tcPr>
            <w:tcW w:w="6912" w:type="dxa"/>
            <w:tcBorders>
              <w:left w:val="single" w:sz="12" w:space="0" w:color="auto"/>
              <w:bottom w:val="single" w:sz="12" w:space="0" w:color="auto"/>
            </w:tcBorders>
            <w:shd w:val="clear" w:color="auto" w:fill="auto"/>
          </w:tcPr>
          <w:p w14:paraId="4F9F1561" w14:textId="77777777" w:rsidR="00E20A86" w:rsidRDefault="00E20A86" w:rsidP="00382AE3">
            <w:r>
              <w:t>Communicatie over resultaten</w:t>
            </w:r>
          </w:p>
        </w:tc>
        <w:tc>
          <w:tcPr>
            <w:tcW w:w="955" w:type="dxa"/>
            <w:tcBorders>
              <w:bottom w:val="single" w:sz="12" w:space="0" w:color="auto"/>
              <w:right w:val="single" w:sz="12" w:space="0" w:color="auto"/>
            </w:tcBorders>
            <w:shd w:val="clear" w:color="auto" w:fill="auto"/>
          </w:tcPr>
          <w:p w14:paraId="250414DD" w14:textId="4BD8DF65" w:rsidR="00E20A86" w:rsidRDefault="00A65201" w:rsidP="00A65201">
            <w:pPr>
              <w:jc w:val="center"/>
            </w:pPr>
            <w:r>
              <w:t>3</w:t>
            </w:r>
          </w:p>
        </w:tc>
      </w:tr>
      <w:tr w:rsidR="00E20A86" w:rsidRPr="00EA0AA8" w14:paraId="2F7C21AF" w14:textId="77777777" w:rsidTr="00B06CE6">
        <w:tc>
          <w:tcPr>
            <w:tcW w:w="6912" w:type="dxa"/>
            <w:tcBorders>
              <w:top w:val="single" w:sz="12" w:space="0" w:color="auto"/>
              <w:left w:val="single" w:sz="12" w:space="0" w:color="auto"/>
              <w:bottom w:val="single" w:sz="12" w:space="0" w:color="auto"/>
            </w:tcBorders>
            <w:shd w:val="clear" w:color="auto" w:fill="D0CECE"/>
          </w:tcPr>
          <w:p w14:paraId="49872C16" w14:textId="77777777" w:rsidR="00E20A86" w:rsidRPr="00EA0AA8" w:rsidRDefault="00E20A86"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1B31D69" w14:textId="629C6641" w:rsidR="00E20A86" w:rsidRPr="00EA0AA8" w:rsidRDefault="00914446" w:rsidP="00A65201">
            <w:pPr>
              <w:jc w:val="center"/>
              <w:rPr>
                <w:b/>
              </w:rPr>
            </w:pPr>
            <w:r>
              <w:rPr>
                <w:b/>
              </w:rPr>
              <w:t>2</w:t>
            </w:r>
          </w:p>
        </w:tc>
      </w:tr>
    </w:tbl>
    <w:p w14:paraId="4824F690" w14:textId="77777777" w:rsidR="00E62286" w:rsidRDefault="00E62286" w:rsidP="00E62286">
      <w:pPr>
        <w:rPr>
          <w:b/>
        </w:rPr>
      </w:pPr>
    </w:p>
    <w:p w14:paraId="0C3DFDD3" w14:textId="2456757C" w:rsidR="00E20A86" w:rsidRDefault="00687998" w:rsidP="002C01F4">
      <w:pPr>
        <w:ind w:firstLine="227"/>
        <w:rPr>
          <w:b/>
        </w:rPr>
      </w:pPr>
      <w:r w:rsidRPr="00193994">
        <w:t>Ver</w:t>
      </w:r>
      <w:r>
        <w:t>andering sinds 2015</w:t>
      </w:r>
      <w:r w:rsidR="003412ED">
        <w:t xml:space="preserve">: </w:t>
      </w:r>
      <w:r>
        <w:t>positief</w:t>
      </w:r>
      <w:r w:rsidRPr="00193994">
        <w:t xml:space="preserve"> </w:t>
      </w:r>
      <w:r w:rsidR="003412ED" w:rsidRPr="00193994">
        <w:t>=</w:t>
      </w:r>
      <w:r w:rsidR="005869DA">
        <w:t xml:space="preserve"> </w:t>
      </w:r>
      <w:r w:rsidR="003412ED" w:rsidRPr="00193994">
        <w:sym w:font="Wingdings" w:char="F0E9"/>
      </w:r>
    </w:p>
    <w:p w14:paraId="413F47B7" w14:textId="77777777" w:rsidR="00EA26EF" w:rsidRDefault="00EA26EF" w:rsidP="00F74AC4"/>
    <w:p w14:paraId="33AF1CEF" w14:textId="6DC6BA01" w:rsidR="00F366F4" w:rsidRPr="005869DA" w:rsidRDefault="005869DA" w:rsidP="00F366F4">
      <w:pPr>
        <w:pStyle w:val="Heading2"/>
        <w:numPr>
          <w:ilvl w:val="1"/>
          <w:numId w:val="20"/>
        </w:numPr>
        <w:tabs>
          <w:tab w:val="left" w:pos="-1162"/>
          <w:tab w:val="left" w:pos="0"/>
        </w:tabs>
        <w:spacing w:line="240" w:lineRule="auto"/>
      </w:pPr>
      <w:r>
        <w:t xml:space="preserve"> </w:t>
      </w:r>
      <w:r>
        <w:tab/>
      </w:r>
      <w:bookmarkStart w:id="30" w:name="_Toc491267896"/>
      <w:r w:rsidR="00F366F4" w:rsidRPr="00A13499">
        <w:t>Partnerschappen</w:t>
      </w:r>
      <w:r w:rsidR="00422948">
        <w:t xml:space="preserve"> en samenwerking</w:t>
      </w:r>
      <w:bookmarkEnd w:id="30"/>
    </w:p>
    <w:p w14:paraId="74E2CD4E" w14:textId="688BFEE0" w:rsidR="00AC4BCE" w:rsidRPr="0047110A" w:rsidRDefault="006D147C" w:rsidP="005869DA">
      <w:pPr>
        <w:rPr>
          <w:b/>
        </w:rPr>
      </w:pPr>
      <w:r>
        <w:t>UNCTAD beschikt niet over een uitgewerkte strategie om partnerschappen vorm te geven</w:t>
      </w:r>
      <w:r w:rsidR="00B6554C">
        <w:t>, maar private sector ontwikkeling behoort tot de kernactiviteiten van de organisatie</w:t>
      </w:r>
      <w:r>
        <w:t xml:space="preserve">. De organisatie is echter </w:t>
      </w:r>
      <w:r w:rsidRPr="004D651F">
        <w:t>op het terrein van hulp, handel en investeringen</w:t>
      </w:r>
      <w:r>
        <w:t xml:space="preserve"> zeer actief in het versterken en formaliseren van algemene en meer gerichte samenwerkingsrelaties met een breed scala aan partners, zowel binnen als buiten het VN-systeem. Zo is </w:t>
      </w:r>
      <w:r w:rsidR="002171A2">
        <w:t xml:space="preserve">UNCTAD binnen het VN-ontwikkelingssysteem </w:t>
      </w:r>
      <w:r w:rsidR="000703F0">
        <w:t xml:space="preserve">het </w:t>
      </w:r>
      <w:r w:rsidR="00F8063D">
        <w:t>eerste aanspreekpunt</w:t>
      </w:r>
      <w:r w:rsidR="002171A2">
        <w:t xml:space="preserve"> </w:t>
      </w:r>
      <w:r w:rsidR="00F8063D">
        <w:t>voor</w:t>
      </w:r>
      <w:r w:rsidR="007B2D07">
        <w:t xml:space="preserve"> de</w:t>
      </w:r>
      <w:r w:rsidR="002171A2">
        <w:t xml:space="preserve"> implementatie van</w:t>
      </w:r>
      <w:r w:rsidR="00F8063D">
        <w:t xml:space="preserve"> een groot aantal subdoelen binnen</w:t>
      </w:r>
      <w:r w:rsidR="002171A2">
        <w:t xml:space="preserve"> </w:t>
      </w:r>
      <w:r w:rsidR="000703F0">
        <w:t xml:space="preserve">SDG </w:t>
      </w:r>
      <w:r w:rsidR="002171A2">
        <w:t>17 (Partnerschappen)</w:t>
      </w:r>
      <w:r w:rsidR="006029DC">
        <w:t>.</w:t>
      </w:r>
      <w:r w:rsidR="002171A2">
        <w:t xml:space="preserve"> </w:t>
      </w:r>
      <w:r w:rsidR="007B2D07">
        <w:t xml:space="preserve">Dit mede </w:t>
      </w:r>
      <w:r w:rsidR="00985BA9">
        <w:t>omdat</w:t>
      </w:r>
      <w:r w:rsidR="00D96A52">
        <w:t xml:space="preserve"> UNCTAD</w:t>
      </w:r>
      <w:r w:rsidR="00985BA9">
        <w:t xml:space="preserve"> een belangrijke adviseur is van </w:t>
      </w:r>
      <w:r w:rsidR="00D96A52">
        <w:t>ontwikkelingslanden</w:t>
      </w:r>
      <w:r w:rsidR="007B2D07">
        <w:t xml:space="preserve"> over het mobiliseren van</w:t>
      </w:r>
      <w:r w:rsidR="00D96A52">
        <w:t xml:space="preserve"> financiële middelen om SDG</w:t>
      </w:r>
      <w:r w:rsidR="005869DA">
        <w:t>’</w:t>
      </w:r>
      <w:r w:rsidR="00D96A52">
        <w:t xml:space="preserve">s te behalen. UNCTAD </w:t>
      </w:r>
      <w:r w:rsidR="007B2D07">
        <w:t xml:space="preserve">is </w:t>
      </w:r>
      <w:r w:rsidR="00F8063D">
        <w:t xml:space="preserve">ook </w:t>
      </w:r>
      <w:r w:rsidR="00D96A52">
        <w:t xml:space="preserve">één van de </w:t>
      </w:r>
      <w:r w:rsidR="00F8063D">
        <w:t xml:space="preserve">vijf </w:t>
      </w:r>
      <w:r w:rsidR="00D96A52">
        <w:t xml:space="preserve">leidende VN-organisaties </w:t>
      </w:r>
      <w:r w:rsidR="00F8063D">
        <w:t>bij het</w:t>
      </w:r>
      <w:r w:rsidR="00D96A52">
        <w:t xml:space="preserve"> </w:t>
      </w:r>
      <w:r w:rsidR="00D96A52">
        <w:rPr>
          <w:i/>
        </w:rPr>
        <w:t>Financing for Development</w:t>
      </w:r>
      <w:r w:rsidR="00F8063D">
        <w:t xml:space="preserve"> proces en is binnen dit proces co-verantwoordelijk voor de coördinatie van vijf van de </w:t>
      </w:r>
      <w:r w:rsidR="00904438">
        <w:t>zeven</w:t>
      </w:r>
      <w:r w:rsidR="00F8063D">
        <w:t xml:space="preserve"> </w:t>
      </w:r>
      <w:r w:rsidR="00F8063D" w:rsidRPr="00C82352">
        <w:rPr>
          <w:i/>
        </w:rPr>
        <w:t>action areas</w:t>
      </w:r>
      <w:r w:rsidR="00F8063D">
        <w:t xml:space="preserve"> van de </w:t>
      </w:r>
      <w:r w:rsidR="00F8063D" w:rsidRPr="0075229F">
        <w:rPr>
          <w:i/>
        </w:rPr>
        <w:t>A</w:t>
      </w:r>
      <w:r w:rsidR="000703F0">
        <w:rPr>
          <w:i/>
        </w:rPr>
        <w:t xml:space="preserve">ddis </w:t>
      </w:r>
      <w:r w:rsidR="00F8063D" w:rsidRPr="0075229F">
        <w:rPr>
          <w:i/>
        </w:rPr>
        <w:t>A</w:t>
      </w:r>
      <w:r w:rsidR="000703F0">
        <w:rPr>
          <w:i/>
        </w:rPr>
        <w:t xml:space="preserve">baba </w:t>
      </w:r>
      <w:r w:rsidR="00F8063D" w:rsidRPr="0075229F">
        <w:rPr>
          <w:i/>
        </w:rPr>
        <w:t>A</w:t>
      </w:r>
      <w:r w:rsidR="000703F0">
        <w:rPr>
          <w:i/>
        </w:rPr>
        <w:t xml:space="preserve">ction </w:t>
      </w:r>
      <w:r w:rsidR="00F8063D" w:rsidRPr="0075229F">
        <w:rPr>
          <w:i/>
        </w:rPr>
        <w:t>A</w:t>
      </w:r>
      <w:r w:rsidR="000703F0">
        <w:rPr>
          <w:i/>
        </w:rPr>
        <w:t>genda</w:t>
      </w:r>
      <w:r w:rsidR="00D96A52">
        <w:t xml:space="preserve">. UNCTAD </w:t>
      </w:r>
      <w:r>
        <w:t xml:space="preserve">heeft tevens </w:t>
      </w:r>
      <w:r w:rsidR="00D96A52">
        <w:t xml:space="preserve">een </w:t>
      </w:r>
      <w:r w:rsidR="007B2D07">
        <w:t xml:space="preserve">centrale </w:t>
      </w:r>
      <w:r w:rsidR="00D96A52">
        <w:t>rol met betrekking tot het monitoren en verantwoorden van de financiële middelen die worden gebruikt om de SDG</w:t>
      </w:r>
      <w:r w:rsidR="005869DA">
        <w:t>’</w:t>
      </w:r>
      <w:r w:rsidR="00D96A52">
        <w:t>s te behalen.</w:t>
      </w:r>
    </w:p>
    <w:p w14:paraId="48DBD6EA" w14:textId="77777777" w:rsidR="00D52AF1" w:rsidRDefault="00D52AF1" w:rsidP="005869DA"/>
    <w:p w14:paraId="2A5F3AFA" w14:textId="104C9876" w:rsidR="006D147C" w:rsidRDefault="006D147C" w:rsidP="005869DA">
      <w:pPr>
        <w:rPr>
          <w:lang w:val="en-US"/>
        </w:rPr>
      </w:pPr>
      <w:r>
        <w:t xml:space="preserve">Daarnaast leidt </w:t>
      </w:r>
      <w:r w:rsidRPr="00301CA8">
        <w:t xml:space="preserve">UNCTAD </w:t>
      </w:r>
      <w:r>
        <w:t xml:space="preserve">sinds 2008 </w:t>
      </w:r>
      <w:r w:rsidRPr="00301CA8">
        <w:t>het</w:t>
      </w:r>
      <w:r>
        <w:t xml:space="preserve"> </w:t>
      </w:r>
      <w:r w:rsidRPr="00301CA8">
        <w:t xml:space="preserve">VN </w:t>
      </w:r>
      <w:r w:rsidRPr="00003B2D">
        <w:rPr>
          <w:i/>
        </w:rPr>
        <w:t>Inter-Agency Cluster on Trade and Productive Capacity</w:t>
      </w:r>
      <w:r>
        <w:t>. Dit informele</w:t>
      </w:r>
      <w:r w:rsidRPr="00301CA8">
        <w:t xml:space="preserve"> </w:t>
      </w:r>
      <w:r>
        <w:t>cluster</w:t>
      </w:r>
      <w:r w:rsidRPr="00301CA8">
        <w:t xml:space="preserve"> </w:t>
      </w:r>
      <w:r w:rsidRPr="00506381">
        <w:t>bestaat uit 15 VN</w:t>
      </w:r>
      <w:r>
        <w:t>-organisaties</w:t>
      </w:r>
      <w:r w:rsidRPr="00301CA8">
        <w:t xml:space="preserve"> </w:t>
      </w:r>
      <w:r>
        <w:t xml:space="preserve">en </w:t>
      </w:r>
      <w:r w:rsidRPr="00301CA8">
        <w:t>coördineert</w:t>
      </w:r>
      <w:r>
        <w:t xml:space="preserve"> </w:t>
      </w:r>
      <w:r w:rsidRPr="00301CA8">
        <w:t xml:space="preserve">de VN-activiteiten op handel en ontwikkeling. </w:t>
      </w:r>
      <w:r>
        <w:t xml:space="preserve">Het richt zich onder meer op drie gezamenlijke beleidsgebieden: handel en werkgelegenheid; handel en mondiale waardeketens; en handelsfacilitatie. Doel is hiermee bij te dragen aan coherentie van het VN-systeem en aan </w:t>
      </w:r>
      <w:r w:rsidRPr="00735F83">
        <w:rPr>
          <w:i/>
        </w:rPr>
        <w:t>D</w:t>
      </w:r>
      <w:r w:rsidRPr="00301CA8">
        <w:rPr>
          <w:i/>
        </w:rPr>
        <w:t xml:space="preserve">elivering as </w:t>
      </w:r>
      <w:r>
        <w:rPr>
          <w:i/>
        </w:rPr>
        <w:t>O</w:t>
      </w:r>
      <w:r w:rsidRPr="00301CA8">
        <w:rPr>
          <w:i/>
        </w:rPr>
        <w:t>ne</w:t>
      </w:r>
      <w:r>
        <w:t xml:space="preserve">. Vooralsnog is echter onduidelijk welke resultaten dit cluster heeft geboekt en welke activiteiten momenteel worden uitgevoerd: het meest recente overzicht van doelstellingen en activiteiten lijkt uit 2013 afkomstig. </w:t>
      </w:r>
      <w:r w:rsidRPr="00753886">
        <w:rPr>
          <w:lang w:val="en-US"/>
        </w:rPr>
        <w:t>Ook speelt UNCTAD een centrale rol bij mee</w:t>
      </w:r>
      <w:r w:rsidRPr="000B1DBD">
        <w:rPr>
          <w:lang w:val="en-US"/>
        </w:rPr>
        <w:t>r technische partnerschappen</w:t>
      </w:r>
      <w:r w:rsidRPr="00753886">
        <w:rPr>
          <w:lang w:val="en-US"/>
        </w:rPr>
        <w:t xml:space="preserve"> als het </w:t>
      </w:r>
      <w:r w:rsidRPr="00753886">
        <w:rPr>
          <w:i/>
          <w:lang w:val="en-US"/>
        </w:rPr>
        <w:t>Multi-Agency Support Team on the non-tariff measure database</w:t>
      </w:r>
      <w:r w:rsidRPr="00753886">
        <w:rPr>
          <w:lang w:val="en-US"/>
        </w:rPr>
        <w:t xml:space="preserve">; de </w:t>
      </w:r>
      <w:r w:rsidRPr="00753886">
        <w:rPr>
          <w:i/>
          <w:lang w:val="en-US"/>
        </w:rPr>
        <w:t>Task Force on Finance Statistics</w:t>
      </w:r>
      <w:r w:rsidRPr="00753886">
        <w:rPr>
          <w:lang w:val="en-US"/>
        </w:rPr>
        <w:t xml:space="preserve">; en het </w:t>
      </w:r>
      <w:r w:rsidRPr="00753886">
        <w:rPr>
          <w:i/>
          <w:lang w:val="en-US"/>
        </w:rPr>
        <w:t>Partnership on Measuring Information and Communications Technology for Development</w:t>
      </w:r>
      <w:r w:rsidRPr="00753886">
        <w:rPr>
          <w:lang w:val="en-US"/>
        </w:rPr>
        <w:t>.</w:t>
      </w:r>
    </w:p>
    <w:p w14:paraId="25901D41" w14:textId="77777777" w:rsidR="006D147C" w:rsidRPr="00753886" w:rsidRDefault="006D147C" w:rsidP="005869DA">
      <w:pPr>
        <w:rPr>
          <w:lang w:val="en-US"/>
        </w:rPr>
      </w:pPr>
    </w:p>
    <w:p w14:paraId="34D0984A" w14:textId="2E5CC108" w:rsidR="00A01F4D" w:rsidRPr="004D651F" w:rsidRDefault="00A01F4D" w:rsidP="005869DA">
      <w:r w:rsidRPr="0075229F">
        <w:t xml:space="preserve">UNCTAD </w:t>
      </w:r>
      <w:r w:rsidR="006D147C" w:rsidRPr="0075229F">
        <w:t xml:space="preserve">heeft ook </w:t>
      </w:r>
      <w:r w:rsidRPr="0075229F">
        <w:t xml:space="preserve">sterke banden met multilaterale organisaties </w:t>
      </w:r>
      <w:r w:rsidR="00442E33" w:rsidRPr="0075229F">
        <w:t xml:space="preserve">als de </w:t>
      </w:r>
      <w:r w:rsidRPr="0075229F">
        <w:rPr>
          <w:i/>
        </w:rPr>
        <w:t>World Trade Organization</w:t>
      </w:r>
      <w:r w:rsidRPr="0075229F">
        <w:t xml:space="preserve"> (WTO), </w:t>
      </w:r>
      <w:r w:rsidR="00442E33" w:rsidRPr="0075229F">
        <w:t xml:space="preserve">het </w:t>
      </w:r>
      <w:r w:rsidRPr="0075229F">
        <w:t>Internationa</w:t>
      </w:r>
      <w:r w:rsidR="005E72EE" w:rsidRPr="0075229F">
        <w:t>a</w:t>
      </w:r>
      <w:r w:rsidRPr="0075229F">
        <w:t xml:space="preserve">l </w:t>
      </w:r>
      <w:r w:rsidR="005E72EE" w:rsidRPr="0075229F">
        <w:t>Monetair F</w:t>
      </w:r>
      <w:r w:rsidR="005E72EE">
        <w:t>o</w:t>
      </w:r>
      <w:r w:rsidR="005E72EE" w:rsidRPr="0075229F">
        <w:t>nd</w:t>
      </w:r>
      <w:r w:rsidR="005E72EE">
        <w:t>s</w:t>
      </w:r>
      <w:r w:rsidR="005E72EE" w:rsidRPr="0075229F">
        <w:t xml:space="preserve"> </w:t>
      </w:r>
      <w:r w:rsidRPr="0075229F">
        <w:t xml:space="preserve">(IMF) en het </w:t>
      </w:r>
      <w:r w:rsidRPr="0075229F">
        <w:rPr>
          <w:i/>
        </w:rPr>
        <w:t>International Trade Cent</w:t>
      </w:r>
      <w:r w:rsidR="00BE5BB2" w:rsidRPr="0075229F">
        <w:rPr>
          <w:i/>
        </w:rPr>
        <w:t>r</w:t>
      </w:r>
      <w:r w:rsidRPr="0075229F">
        <w:rPr>
          <w:i/>
        </w:rPr>
        <w:t>e</w:t>
      </w:r>
      <w:r w:rsidRPr="0075229F">
        <w:t xml:space="preserve"> (ITC). </w:t>
      </w:r>
      <w:r w:rsidRPr="004D651F">
        <w:t xml:space="preserve">Het ITC is gezamenlijk opgericht door de WTO en UNCTAD, met als doel </w:t>
      </w:r>
      <w:r>
        <w:t xml:space="preserve">capaciteitsopbouw voor de bevordering van </w:t>
      </w:r>
      <w:r w:rsidR="00BE5BB2">
        <w:t>handel door</w:t>
      </w:r>
      <w:r>
        <w:t xml:space="preserve"> ontwikkelingslanden, inclusief </w:t>
      </w:r>
      <w:r w:rsidRPr="004D651F">
        <w:t xml:space="preserve">technische ondersteuning aan </w:t>
      </w:r>
      <w:r>
        <w:t xml:space="preserve">het lokale </w:t>
      </w:r>
      <w:r w:rsidRPr="004D651F">
        <w:t>bedrijfsleven in ontwikkelingslanden.</w:t>
      </w:r>
      <w:r w:rsidR="00D52AF1">
        <w:t xml:space="preserve"> Ook is UNCTAD een van de vaste </w:t>
      </w:r>
      <w:r w:rsidR="00442E33">
        <w:t>partners</w:t>
      </w:r>
      <w:r w:rsidR="00D52AF1">
        <w:t xml:space="preserve"> bij beleidsontwikkeling voor de G20, vooral op het terrein van financiën, investeringen, handel en ontwikkeling</w:t>
      </w:r>
      <w:r w:rsidR="009923AC">
        <w:t xml:space="preserve"> en e-commerce</w:t>
      </w:r>
      <w:r w:rsidR="00D52AF1">
        <w:t>.</w:t>
      </w:r>
    </w:p>
    <w:p w14:paraId="6023D307" w14:textId="1294FA26" w:rsidR="00D52AF1" w:rsidRPr="00E33166" w:rsidRDefault="00D52AF1" w:rsidP="005869DA"/>
    <w:p w14:paraId="59638A4F" w14:textId="16D45CA6" w:rsidR="00A01F4D" w:rsidRDefault="00D52AF1" w:rsidP="005869DA">
      <w:r>
        <w:t xml:space="preserve">UNCTAD </w:t>
      </w:r>
      <w:r w:rsidR="00442E33">
        <w:t xml:space="preserve">heeft </w:t>
      </w:r>
      <w:r w:rsidR="006D147C">
        <w:t>daarnaast</w:t>
      </w:r>
      <w:r w:rsidR="00442E33">
        <w:t xml:space="preserve"> </w:t>
      </w:r>
      <w:r>
        <w:t xml:space="preserve">een serie van MoUs afgesloten met onder meer de </w:t>
      </w:r>
      <w:r w:rsidR="001873AB" w:rsidRPr="001873AB">
        <w:t xml:space="preserve">Organisatie voor Economische Samenwerking en Ontwikkeling </w:t>
      </w:r>
      <w:r w:rsidR="001873AB">
        <w:t>(</w:t>
      </w:r>
      <w:r>
        <w:t>OE</w:t>
      </w:r>
      <w:r w:rsidR="00364A2E">
        <w:t>SO</w:t>
      </w:r>
      <w:r w:rsidR="001873AB">
        <w:t>)</w:t>
      </w:r>
      <w:r>
        <w:t xml:space="preserve">, de </w:t>
      </w:r>
      <w:r w:rsidRPr="0075229F">
        <w:rPr>
          <w:i/>
        </w:rPr>
        <w:t>Global Competitiveness Practice</w:t>
      </w:r>
      <w:r>
        <w:t xml:space="preserve"> van de Wereldbank; de </w:t>
      </w:r>
      <w:r w:rsidRPr="0075229F">
        <w:rPr>
          <w:i/>
        </w:rPr>
        <w:t xml:space="preserve">International Chamber of Commerce </w:t>
      </w:r>
      <w:r>
        <w:t xml:space="preserve">en de </w:t>
      </w:r>
      <w:r w:rsidRPr="0075229F">
        <w:rPr>
          <w:i/>
        </w:rPr>
        <w:t>International Labour Organi</w:t>
      </w:r>
      <w:r w:rsidR="00F1476D">
        <w:rPr>
          <w:i/>
        </w:rPr>
        <w:t>z</w:t>
      </w:r>
      <w:r w:rsidRPr="0075229F">
        <w:rPr>
          <w:i/>
        </w:rPr>
        <w:t>ation</w:t>
      </w:r>
      <w:r>
        <w:t>. Tevens zijn strategische partnerschappen overeengekomen met partijen uit de private sector, universiteiten en anderen internationale en regionale organisaties.</w:t>
      </w:r>
      <w:r w:rsidR="00A01F4D">
        <w:t xml:space="preserve"> </w:t>
      </w:r>
    </w:p>
    <w:p w14:paraId="5ABDDF93" w14:textId="77777777" w:rsidR="00A01F4D" w:rsidRPr="00446738" w:rsidRDefault="00A01F4D" w:rsidP="005869DA">
      <w:pPr>
        <w:rPr>
          <w:color w:val="4F81BD"/>
        </w:rPr>
      </w:pPr>
    </w:p>
    <w:p w14:paraId="7420B633" w14:textId="3F0CF3FA" w:rsidR="00003B2D" w:rsidRDefault="00A01F4D" w:rsidP="005869DA">
      <w:r w:rsidRPr="00616BBD">
        <w:t xml:space="preserve">UNCTAD </w:t>
      </w:r>
      <w:r w:rsidR="00442E33">
        <w:t xml:space="preserve">hecht </w:t>
      </w:r>
      <w:r w:rsidRPr="00616BBD">
        <w:t>veel waarde aan samenwerking met het maatschappelijk middenveld en de private sector in ontwikkelingslanden. Dit is volgens de organisatie essentieel voor ontwikkelingslanden om te kunnen integreren in de internationale economie.</w:t>
      </w:r>
      <w:r w:rsidR="00453ED1">
        <w:t xml:space="preserve"> Een praktisch voorbeeld is de brede alliantie die UNCTAD heeft gevormd </w:t>
      </w:r>
      <w:r w:rsidR="0045132F">
        <w:t xml:space="preserve">in het kader van het </w:t>
      </w:r>
      <w:r w:rsidR="0045132F" w:rsidRPr="0075229F">
        <w:rPr>
          <w:i/>
        </w:rPr>
        <w:t>eTrade for all</w:t>
      </w:r>
      <w:r w:rsidR="0045132F">
        <w:t xml:space="preserve"> programma.</w:t>
      </w:r>
      <w:r w:rsidR="00453ED1">
        <w:t xml:space="preserve"> </w:t>
      </w:r>
      <w:r w:rsidRPr="00616BBD">
        <w:t>De</w:t>
      </w:r>
      <w:r w:rsidR="0045132F">
        <w:t xml:space="preserve"> </w:t>
      </w:r>
      <w:r w:rsidRPr="00616BBD">
        <w:rPr>
          <w:i/>
        </w:rPr>
        <w:t>Civil Society Outreach</w:t>
      </w:r>
      <w:r w:rsidR="0045132F">
        <w:rPr>
          <w:i/>
        </w:rPr>
        <w:t xml:space="preserve"> Unit</w:t>
      </w:r>
      <w:r w:rsidRPr="00616BBD">
        <w:t xml:space="preserve"> binnen UNCTAD is verantwoordelijk voor het contact met het maatschappelijk middenveld.</w:t>
      </w:r>
      <w:r>
        <w:t xml:space="preserve"> </w:t>
      </w:r>
      <w:r w:rsidRPr="00616BBD">
        <w:t xml:space="preserve">UNCTAD is tevens een van de oprichters van het </w:t>
      </w:r>
      <w:r w:rsidR="001873AB" w:rsidRPr="0075229F">
        <w:rPr>
          <w:i/>
        </w:rPr>
        <w:t>U</w:t>
      </w:r>
      <w:r w:rsidRPr="0075229F">
        <w:rPr>
          <w:i/>
        </w:rPr>
        <w:t>N Global Compact</w:t>
      </w:r>
      <w:r w:rsidRPr="00616BBD">
        <w:t>. Dit initiatief richt zich voornamelijk op het bevorderen van handel met speciale aandacht voor enkele kernprincipes op het gebied van mensenrechten, arbeidsstandaarden en duurzaamheid.</w:t>
      </w:r>
      <w:r w:rsidR="007B7BB5">
        <w:t xml:space="preserve"> </w:t>
      </w:r>
    </w:p>
    <w:p w14:paraId="12E36EAE" w14:textId="3B4BCBD0" w:rsidR="008E22BC" w:rsidRPr="00ED2F32" w:rsidRDefault="008E22BC" w:rsidP="00BD7AE6">
      <w:pPr>
        <w:ind w:left="-45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03AC0014" w14:textId="77777777" w:rsidTr="00B06CE6">
        <w:tc>
          <w:tcPr>
            <w:tcW w:w="6912" w:type="dxa"/>
            <w:tcBorders>
              <w:top w:val="single" w:sz="12" w:space="0" w:color="auto"/>
              <w:left w:val="single" w:sz="12" w:space="0" w:color="auto"/>
              <w:bottom w:val="single" w:sz="12" w:space="0" w:color="auto"/>
            </w:tcBorders>
            <w:shd w:val="clear" w:color="auto" w:fill="D0CECE"/>
          </w:tcPr>
          <w:p w14:paraId="3A19D4AA"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0C00543B" w14:textId="77777777" w:rsidR="002A310E" w:rsidRPr="00EA0AA8" w:rsidRDefault="002A310E" w:rsidP="00382AE3">
            <w:pPr>
              <w:rPr>
                <w:b/>
              </w:rPr>
            </w:pPr>
            <w:r w:rsidRPr="00EA0AA8">
              <w:rPr>
                <w:b/>
              </w:rPr>
              <w:t>Score</w:t>
            </w:r>
          </w:p>
        </w:tc>
      </w:tr>
      <w:tr w:rsidR="002A310E" w14:paraId="7D348613" w14:textId="77777777" w:rsidTr="00382AE3">
        <w:tc>
          <w:tcPr>
            <w:tcW w:w="6912" w:type="dxa"/>
            <w:tcBorders>
              <w:top w:val="single" w:sz="12" w:space="0" w:color="auto"/>
              <w:left w:val="single" w:sz="12" w:space="0" w:color="auto"/>
            </w:tcBorders>
            <w:shd w:val="clear" w:color="auto" w:fill="auto"/>
          </w:tcPr>
          <w:p w14:paraId="788BABEB" w14:textId="77777777" w:rsidR="002A310E" w:rsidRDefault="00CD7B6F" w:rsidP="00382AE3">
            <w:r>
              <w:t>Partnerschappen met andere organisaties</w:t>
            </w:r>
          </w:p>
        </w:tc>
        <w:tc>
          <w:tcPr>
            <w:tcW w:w="955" w:type="dxa"/>
            <w:tcBorders>
              <w:top w:val="single" w:sz="12" w:space="0" w:color="auto"/>
              <w:right w:val="single" w:sz="12" w:space="0" w:color="auto"/>
            </w:tcBorders>
            <w:shd w:val="clear" w:color="auto" w:fill="auto"/>
          </w:tcPr>
          <w:p w14:paraId="214F6077" w14:textId="1CD1EB93" w:rsidR="002A310E" w:rsidRDefault="00506381" w:rsidP="00E84C9C">
            <w:pPr>
              <w:jc w:val="center"/>
            </w:pPr>
            <w:r>
              <w:t>4</w:t>
            </w:r>
          </w:p>
        </w:tc>
      </w:tr>
      <w:tr w:rsidR="002A310E" w14:paraId="10103E5D" w14:textId="77777777" w:rsidTr="00382AE3">
        <w:tc>
          <w:tcPr>
            <w:tcW w:w="6912" w:type="dxa"/>
            <w:tcBorders>
              <w:left w:val="single" w:sz="12" w:space="0" w:color="auto"/>
            </w:tcBorders>
            <w:shd w:val="clear" w:color="auto" w:fill="auto"/>
          </w:tcPr>
          <w:p w14:paraId="630886BA" w14:textId="77777777" w:rsidR="002A310E" w:rsidRDefault="00CD7B6F" w:rsidP="00382AE3">
            <w:r>
              <w:t>Visie en rol partnerschappen</w:t>
            </w:r>
          </w:p>
        </w:tc>
        <w:tc>
          <w:tcPr>
            <w:tcW w:w="955" w:type="dxa"/>
            <w:tcBorders>
              <w:right w:val="single" w:sz="12" w:space="0" w:color="auto"/>
            </w:tcBorders>
            <w:shd w:val="clear" w:color="auto" w:fill="auto"/>
          </w:tcPr>
          <w:p w14:paraId="59258947" w14:textId="7FCE0221" w:rsidR="002A310E" w:rsidRDefault="00E84C9C" w:rsidP="00E84C9C">
            <w:pPr>
              <w:jc w:val="center"/>
            </w:pPr>
            <w:r>
              <w:t>3</w:t>
            </w:r>
          </w:p>
        </w:tc>
      </w:tr>
      <w:tr w:rsidR="002A310E" w14:paraId="22153D35" w14:textId="77777777" w:rsidTr="00382AE3">
        <w:tc>
          <w:tcPr>
            <w:tcW w:w="6912" w:type="dxa"/>
            <w:tcBorders>
              <w:left w:val="single" w:sz="12" w:space="0" w:color="auto"/>
            </w:tcBorders>
            <w:shd w:val="clear" w:color="auto" w:fill="auto"/>
          </w:tcPr>
          <w:p w14:paraId="5A3539E5" w14:textId="77777777" w:rsidR="002A310E" w:rsidRDefault="00CD7B6F" w:rsidP="00C447C0">
            <w:r>
              <w:t>Aanslu</w:t>
            </w:r>
            <w:r w:rsidR="00C447C0">
              <w:t>iting partnerschappen met andere actoren</w:t>
            </w:r>
          </w:p>
        </w:tc>
        <w:tc>
          <w:tcPr>
            <w:tcW w:w="955" w:type="dxa"/>
            <w:tcBorders>
              <w:right w:val="single" w:sz="12" w:space="0" w:color="auto"/>
            </w:tcBorders>
            <w:shd w:val="clear" w:color="auto" w:fill="auto"/>
          </w:tcPr>
          <w:p w14:paraId="46FAE44D" w14:textId="75EE8925" w:rsidR="002A310E" w:rsidRDefault="00E84C9C" w:rsidP="00E84C9C">
            <w:pPr>
              <w:jc w:val="center"/>
            </w:pPr>
            <w:r>
              <w:t>3</w:t>
            </w:r>
          </w:p>
        </w:tc>
      </w:tr>
      <w:tr w:rsidR="00422948" w14:paraId="42186143" w14:textId="77777777" w:rsidTr="00382AE3">
        <w:tc>
          <w:tcPr>
            <w:tcW w:w="6912" w:type="dxa"/>
            <w:tcBorders>
              <w:left w:val="single" w:sz="12" w:space="0" w:color="auto"/>
            </w:tcBorders>
            <w:shd w:val="clear" w:color="auto" w:fill="auto"/>
          </w:tcPr>
          <w:p w14:paraId="23D9EEED" w14:textId="77777777" w:rsidR="00422948" w:rsidRDefault="00072371" w:rsidP="00C447C0">
            <w:r>
              <w:t>Samenwerking en coördinatie overige actoren</w:t>
            </w:r>
          </w:p>
        </w:tc>
        <w:tc>
          <w:tcPr>
            <w:tcW w:w="955" w:type="dxa"/>
            <w:tcBorders>
              <w:right w:val="single" w:sz="12" w:space="0" w:color="auto"/>
            </w:tcBorders>
            <w:shd w:val="clear" w:color="auto" w:fill="auto"/>
          </w:tcPr>
          <w:p w14:paraId="7AAFB750" w14:textId="4A44466C" w:rsidR="00422948" w:rsidRDefault="00B6554C" w:rsidP="00E84C9C">
            <w:pPr>
              <w:jc w:val="center"/>
            </w:pPr>
            <w:r>
              <w:t>4</w:t>
            </w:r>
          </w:p>
        </w:tc>
      </w:tr>
      <w:tr w:rsidR="002A310E" w:rsidRPr="00EA0AA8" w14:paraId="1A2486AE" w14:textId="77777777" w:rsidTr="00B06CE6">
        <w:tc>
          <w:tcPr>
            <w:tcW w:w="6912" w:type="dxa"/>
            <w:tcBorders>
              <w:top w:val="single" w:sz="12" w:space="0" w:color="auto"/>
              <w:left w:val="single" w:sz="12" w:space="0" w:color="auto"/>
              <w:bottom w:val="single" w:sz="12" w:space="0" w:color="auto"/>
            </w:tcBorders>
            <w:shd w:val="clear" w:color="auto" w:fill="D0CECE"/>
          </w:tcPr>
          <w:p w14:paraId="3C582214"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C2031D5" w14:textId="48E223CA" w:rsidR="002A310E" w:rsidRPr="00EA0AA8" w:rsidRDefault="00B6554C" w:rsidP="00332E91">
            <w:pPr>
              <w:jc w:val="center"/>
              <w:rPr>
                <w:b/>
              </w:rPr>
            </w:pPr>
            <w:r>
              <w:rPr>
                <w:b/>
              </w:rPr>
              <w:t>4</w:t>
            </w:r>
          </w:p>
        </w:tc>
      </w:tr>
    </w:tbl>
    <w:p w14:paraId="064F93F0" w14:textId="77777777" w:rsidR="00B54564" w:rsidRDefault="00B54564" w:rsidP="003412ED"/>
    <w:p w14:paraId="135F9779" w14:textId="4B08298D" w:rsidR="00687998" w:rsidRDefault="00687998" w:rsidP="00E31C92">
      <w:pPr>
        <w:ind w:firstLine="227"/>
        <w:rPr>
          <w:b/>
        </w:rPr>
      </w:pPr>
      <w:r w:rsidRPr="00193994">
        <w:t>Ver</w:t>
      </w:r>
      <w:r w:rsidR="00B6554C">
        <w:t>andering sinds 2015: positief</w:t>
      </w:r>
      <w:r w:rsidRPr="00193994">
        <w:t xml:space="preserve"> = </w:t>
      </w:r>
      <w:r w:rsidR="00B6554C" w:rsidRPr="00193994">
        <w:sym w:font="Wingdings" w:char="F0E9"/>
      </w:r>
    </w:p>
    <w:p w14:paraId="5542A797" w14:textId="77777777" w:rsidR="00B54564" w:rsidRDefault="00B54564" w:rsidP="003412ED"/>
    <w:p w14:paraId="7CCF37ED" w14:textId="6B387C4C" w:rsidR="00DE343C" w:rsidRPr="004D372F" w:rsidRDefault="00D07878" w:rsidP="004D372F">
      <w:pPr>
        <w:pStyle w:val="Heading2"/>
        <w:tabs>
          <w:tab w:val="left" w:pos="-1162"/>
          <w:tab w:val="left" w:pos="0"/>
          <w:tab w:val="num" w:pos="1160"/>
        </w:tabs>
        <w:spacing w:line="240" w:lineRule="auto"/>
        <w:ind w:hanging="1162"/>
      </w:pPr>
      <w:bookmarkStart w:id="31" w:name="_Toc410140903"/>
      <w:bookmarkStart w:id="32" w:name="_Toc491267897"/>
      <w:r>
        <w:t>4</w:t>
      </w:r>
      <w:r w:rsidR="004D372F" w:rsidRPr="004D372F">
        <w:t>.</w:t>
      </w:r>
      <w:r w:rsidR="00A74DEC">
        <w:t>4</w:t>
      </w:r>
      <w:r w:rsidR="004D372F" w:rsidRPr="004D372F">
        <w:t xml:space="preserve"> </w:t>
      </w:r>
      <w:r w:rsidR="0031751C">
        <w:tab/>
      </w:r>
      <w:r w:rsidR="00CD7B6F">
        <w:t>Operationeel management</w:t>
      </w:r>
      <w:bookmarkEnd w:id="31"/>
      <w:bookmarkEnd w:id="32"/>
    </w:p>
    <w:p w14:paraId="7FD61803" w14:textId="49B02730" w:rsidR="0028266E" w:rsidRDefault="00BE09ED" w:rsidP="00CE36BD">
      <w:r>
        <w:t xml:space="preserve">Prestaties van UNCTAD variëren sterk tussen de verschillende onderdelen. Waar zowel ontwikkelings- als de ontwikkelde landen zeer lovend zijn over kwaliteit en toegevoegde waarde de </w:t>
      </w:r>
      <w:r w:rsidRPr="00656084">
        <w:rPr>
          <w:i/>
        </w:rPr>
        <w:t>Investment and Enterprise Division</w:t>
      </w:r>
      <w:r>
        <w:t xml:space="preserve"> en </w:t>
      </w:r>
      <w:r w:rsidR="00656084">
        <w:t>de</w:t>
      </w:r>
      <w:r>
        <w:t xml:space="preserve"> </w:t>
      </w:r>
      <w:r w:rsidRPr="00656084">
        <w:rPr>
          <w:i/>
        </w:rPr>
        <w:t>Technology and Logistics Division</w:t>
      </w:r>
      <w:r>
        <w:t xml:space="preserve">, presteert bijvoorbeeld de </w:t>
      </w:r>
      <w:r w:rsidRPr="00656084">
        <w:rPr>
          <w:i/>
        </w:rPr>
        <w:t>Globalisation Divison</w:t>
      </w:r>
      <w:r>
        <w:t xml:space="preserve"> ondermaats. Dit compliceert het geven van een algemene score over het operationele management van de organisatie.</w:t>
      </w:r>
    </w:p>
    <w:p w14:paraId="4BCA6022" w14:textId="1A02FDFA" w:rsidR="00BE09ED" w:rsidRDefault="00BE09ED" w:rsidP="005869DA">
      <w:r>
        <w:t xml:space="preserve"> </w:t>
      </w:r>
    </w:p>
    <w:p w14:paraId="30029CB9" w14:textId="415903DA" w:rsidR="00CE36BD" w:rsidRPr="00681F42" w:rsidRDefault="00276FA4" w:rsidP="005869DA">
      <w:r w:rsidRPr="00681F42">
        <w:t xml:space="preserve">Het rapport van de JIU uit 2012, het </w:t>
      </w:r>
      <w:r w:rsidRPr="00681F42">
        <w:rPr>
          <w:i/>
        </w:rPr>
        <w:t xml:space="preserve">Review of Management and Administration in UNCTAD, </w:t>
      </w:r>
      <w:r w:rsidRPr="00681F42">
        <w:t xml:space="preserve">stelde binnen de organisatie een silo-structuur vast. Volgens het rapport leidde dit tot het inefficiënt opereren van verschillende divisies. Met de komst van Kituyi als Secretaris-Generaal in 2013 zijn er stappen gezet om de effectiviteit te verbeteren. </w:t>
      </w:r>
      <w:r w:rsidR="00CE36BD" w:rsidRPr="00681F42">
        <w:t xml:space="preserve">Het </w:t>
      </w:r>
      <w:r w:rsidR="005869DA" w:rsidRPr="00681F42">
        <w:t>UNCTAD-management</w:t>
      </w:r>
      <w:r w:rsidR="00CE36BD" w:rsidRPr="00681F42">
        <w:t xml:space="preserve"> rapporteer</w:t>
      </w:r>
      <w:r w:rsidR="00D52AF1" w:rsidRPr="00681F42">
        <w:t xml:space="preserve">de tot </w:t>
      </w:r>
      <w:r w:rsidR="006173C4" w:rsidRPr="00681F42">
        <w:t>en met 2015</w:t>
      </w:r>
      <w:r w:rsidR="00CE36BD" w:rsidRPr="00681F42">
        <w:t xml:space="preserve"> jaarlijks aan de TDB over de implementatie van het werkplan naar aanleiding van bovengenoemd JIU-rapport. De JIU-aanbevelingen uit 2012 zijn inmiddels allemaal opgevolgd</w:t>
      </w:r>
      <w:r w:rsidR="001873AB" w:rsidRPr="00681F42">
        <w:t>:</w:t>
      </w:r>
      <w:r w:rsidR="00D52AF1" w:rsidRPr="00681F42">
        <w:t xml:space="preserve"> het management van UNCTAD informeert lidstaten sinds 2016 middels informele </w:t>
      </w:r>
      <w:r w:rsidR="00D52AF1" w:rsidRPr="00681F42">
        <w:lastRenderedPageBreak/>
        <w:t>managementbriefings over onder meer de implementatie van de aanbevelingen</w:t>
      </w:r>
      <w:r w:rsidR="006173C4" w:rsidRPr="00681F42">
        <w:t xml:space="preserve"> door de JIU</w:t>
      </w:r>
      <w:r w:rsidR="00CE36BD" w:rsidRPr="00681F42">
        <w:t>.</w:t>
      </w:r>
    </w:p>
    <w:p w14:paraId="6F434291" w14:textId="77777777" w:rsidR="00CE36BD" w:rsidRPr="00681F42" w:rsidRDefault="00CE36BD" w:rsidP="005869DA"/>
    <w:p w14:paraId="04198549" w14:textId="04BAC0D4" w:rsidR="00CE36BD" w:rsidRDefault="00CE36BD" w:rsidP="005869DA">
      <w:r w:rsidRPr="00681F42">
        <w:t xml:space="preserve">De voortgangsrapportage uit </w:t>
      </w:r>
      <w:r w:rsidR="006173C4" w:rsidRPr="00681F42">
        <w:t xml:space="preserve">2015 </w:t>
      </w:r>
      <w:r w:rsidRPr="00681F42">
        <w:t xml:space="preserve">toont de voortgang op een aantal hervormingsgebieden en initiatieven om de organisatie sterker te maken. </w:t>
      </w:r>
      <w:r w:rsidR="00D52AF1" w:rsidRPr="00681F42">
        <w:t>Op basis van de informele managementbriefings</w:t>
      </w:r>
      <w:r w:rsidR="006173C4" w:rsidRPr="00681F42">
        <w:t>, bilaterale gesprekken met medewerkers van UNCTAD</w:t>
      </w:r>
      <w:r w:rsidR="00D52AF1" w:rsidRPr="00681F42">
        <w:t xml:space="preserve"> en gesprekken tijdens de beleidsdialoog </w:t>
      </w:r>
      <w:r w:rsidR="006173C4" w:rsidRPr="00681F42">
        <w:t xml:space="preserve">kan worden geconcludeerd </w:t>
      </w:r>
      <w:r w:rsidRPr="00681F42">
        <w:t xml:space="preserve">dat er </w:t>
      </w:r>
      <w:r w:rsidR="00EB3D6B" w:rsidRPr="00681F42">
        <w:t>nog steeds</w:t>
      </w:r>
      <w:r w:rsidR="00B522B5" w:rsidRPr="00681F42">
        <w:t>, langzaam aan,</w:t>
      </w:r>
      <w:r w:rsidR="005F1893" w:rsidRPr="00681F42">
        <w:t xml:space="preserve"> </w:t>
      </w:r>
      <w:r w:rsidRPr="00681F42">
        <w:t>voortgang wordt geboekt</w:t>
      </w:r>
      <w:r w:rsidR="00D52AF1" w:rsidRPr="00681F42">
        <w:t>. Er is echter</w:t>
      </w:r>
      <w:r w:rsidRPr="00681F42">
        <w:t xml:space="preserve"> nog geen evaluatie beschikbaar die de resultaten van deze ontwikkelingen heeft getoetst</w:t>
      </w:r>
      <w:r w:rsidR="00DC3FED" w:rsidRPr="00681F42">
        <w:t xml:space="preserve"> en zichtbaar heeft gemaakt</w:t>
      </w:r>
      <w:r w:rsidRPr="00681F42">
        <w:t>.</w:t>
      </w:r>
    </w:p>
    <w:p w14:paraId="217DC1FE" w14:textId="04EC5DE1" w:rsidR="00970126" w:rsidRDefault="00970126" w:rsidP="005869DA"/>
    <w:p w14:paraId="3F211EC1" w14:textId="45DEA4D6" w:rsidR="00B2796C" w:rsidRPr="007B7BB5" w:rsidRDefault="00B2796C" w:rsidP="007B7BB5">
      <w:r w:rsidRPr="009E1B0E">
        <w:t xml:space="preserve">UNCTAD’s technische assistentieprogramma’s zijn vraag gestuurd van aard en zijn vaak ter ondersteuning </w:t>
      </w:r>
      <w:r>
        <w:t xml:space="preserve">van bestaand nationaal beleid. </w:t>
      </w:r>
      <w:r w:rsidRPr="009E1B0E">
        <w:t>Binnen het handel, ontwikkeling en investeringsmandaat voert UNCTAD bijvoorbeeld beleidsdoorlichtingen uit, stelt het adviezen op en ondersteunt het de capaciteitsopbouw van overheidsonderdelen. Deze diensten zijn erg gewild onder ontwikkelingslanden</w:t>
      </w:r>
      <w:r>
        <w:t xml:space="preserve"> en bouwen over</w:t>
      </w:r>
      <w:r w:rsidRPr="009E1B0E">
        <w:t xml:space="preserve"> het algemeen goed voort op bestaande capaciteiten.</w:t>
      </w:r>
      <w:r>
        <w:t xml:space="preserve"> </w:t>
      </w:r>
      <w:r w:rsidRPr="00CD21AA">
        <w:t>Rapportage over door Nederland gefinancierde technische assistentieprogramma’s verloopt naar behoren</w:t>
      </w:r>
      <w:r w:rsidR="00FA26AA">
        <w:t xml:space="preserve"> en wordt tijdig geleverd</w:t>
      </w:r>
      <w:r w:rsidRPr="00CD21AA">
        <w:t>.</w:t>
      </w:r>
      <w:r>
        <w:t xml:space="preserve"> </w:t>
      </w:r>
      <w:r w:rsidR="007B7BB5" w:rsidRPr="007B7BB5">
        <w:t>UNCTAD heeft geen decentrale kantoren.</w:t>
      </w:r>
    </w:p>
    <w:p w14:paraId="4CF3B114" w14:textId="77777777" w:rsidR="002A310E" w:rsidRDefault="002A310E"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35BB2009" w14:textId="77777777" w:rsidTr="00B06CE6">
        <w:tc>
          <w:tcPr>
            <w:tcW w:w="6912" w:type="dxa"/>
            <w:tcBorders>
              <w:top w:val="single" w:sz="12" w:space="0" w:color="auto"/>
              <w:left w:val="single" w:sz="12" w:space="0" w:color="auto"/>
              <w:bottom w:val="single" w:sz="12" w:space="0" w:color="auto"/>
            </w:tcBorders>
            <w:shd w:val="clear" w:color="auto" w:fill="D0CECE"/>
          </w:tcPr>
          <w:p w14:paraId="3BDD3744"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09DEDDE" w14:textId="77777777" w:rsidR="002A310E" w:rsidRPr="00EA0AA8" w:rsidRDefault="002A310E" w:rsidP="00382AE3">
            <w:pPr>
              <w:rPr>
                <w:b/>
              </w:rPr>
            </w:pPr>
            <w:r w:rsidRPr="00EA0AA8">
              <w:rPr>
                <w:b/>
              </w:rPr>
              <w:t>Score</w:t>
            </w:r>
          </w:p>
        </w:tc>
      </w:tr>
      <w:tr w:rsidR="002A310E" w14:paraId="35E7E994" w14:textId="77777777" w:rsidTr="00382AE3">
        <w:tc>
          <w:tcPr>
            <w:tcW w:w="6912" w:type="dxa"/>
            <w:tcBorders>
              <w:top w:val="single" w:sz="12" w:space="0" w:color="auto"/>
              <w:left w:val="single" w:sz="12" w:space="0" w:color="auto"/>
            </w:tcBorders>
            <w:shd w:val="clear" w:color="auto" w:fill="auto"/>
          </w:tcPr>
          <w:p w14:paraId="66C8D08F" w14:textId="77777777" w:rsidR="002A310E" w:rsidRDefault="008A646F" w:rsidP="00382AE3">
            <w:r>
              <w:t>Delegatie van bevoegdheden</w:t>
            </w:r>
          </w:p>
        </w:tc>
        <w:tc>
          <w:tcPr>
            <w:tcW w:w="955" w:type="dxa"/>
            <w:tcBorders>
              <w:top w:val="single" w:sz="12" w:space="0" w:color="auto"/>
              <w:right w:val="single" w:sz="12" w:space="0" w:color="auto"/>
            </w:tcBorders>
            <w:shd w:val="clear" w:color="auto" w:fill="auto"/>
          </w:tcPr>
          <w:p w14:paraId="40F5EF3E" w14:textId="50ED774C" w:rsidR="002A310E" w:rsidRDefault="00255F92" w:rsidP="00255F92">
            <w:pPr>
              <w:jc w:val="center"/>
            </w:pPr>
            <w:r>
              <w:t>3</w:t>
            </w:r>
          </w:p>
        </w:tc>
      </w:tr>
      <w:tr w:rsidR="002A310E" w14:paraId="7BC3131B" w14:textId="77777777" w:rsidTr="00382AE3">
        <w:tc>
          <w:tcPr>
            <w:tcW w:w="6912" w:type="dxa"/>
            <w:tcBorders>
              <w:left w:val="single" w:sz="12" w:space="0" w:color="auto"/>
            </w:tcBorders>
            <w:shd w:val="clear" w:color="auto" w:fill="auto"/>
          </w:tcPr>
          <w:p w14:paraId="1CF89441" w14:textId="77777777" w:rsidR="002A310E" w:rsidRDefault="008A646F" w:rsidP="00382AE3">
            <w:r>
              <w:t>Projectbeheer en financieel beheer</w:t>
            </w:r>
          </w:p>
        </w:tc>
        <w:tc>
          <w:tcPr>
            <w:tcW w:w="955" w:type="dxa"/>
            <w:tcBorders>
              <w:right w:val="single" w:sz="12" w:space="0" w:color="auto"/>
            </w:tcBorders>
            <w:shd w:val="clear" w:color="auto" w:fill="auto"/>
          </w:tcPr>
          <w:p w14:paraId="075C5204" w14:textId="1BA0B5DB" w:rsidR="002A310E" w:rsidRDefault="00FA26AA" w:rsidP="00255F92">
            <w:pPr>
              <w:jc w:val="center"/>
            </w:pPr>
            <w:r>
              <w:t>3</w:t>
            </w:r>
          </w:p>
        </w:tc>
      </w:tr>
      <w:tr w:rsidR="002A310E" w14:paraId="10DF83C8" w14:textId="77777777" w:rsidTr="00382AE3">
        <w:tc>
          <w:tcPr>
            <w:tcW w:w="6912" w:type="dxa"/>
            <w:tcBorders>
              <w:left w:val="single" w:sz="12" w:space="0" w:color="auto"/>
            </w:tcBorders>
            <w:shd w:val="clear" w:color="auto" w:fill="auto"/>
          </w:tcPr>
          <w:p w14:paraId="05C0E0BB" w14:textId="77777777" w:rsidR="002A310E" w:rsidRDefault="008A646F" w:rsidP="00382AE3">
            <w:r>
              <w:t>Verantwoordelijkheden en bevoegdheden decentrale kantoren</w:t>
            </w:r>
          </w:p>
        </w:tc>
        <w:tc>
          <w:tcPr>
            <w:tcW w:w="955" w:type="dxa"/>
            <w:tcBorders>
              <w:right w:val="single" w:sz="12" w:space="0" w:color="auto"/>
            </w:tcBorders>
            <w:shd w:val="clear" w:color="auto" w:fill="auto"/>
          </w:tcPr>
          <w:p w14:paraId="537A2B64" w14:textId="4BC53D8D" w:rsidR="002A310E" w:rsidRDefault="00046DDB" w:rsidP="00EC3199">
            <w:pPr>
              <w:jc w:val="center"/>
            </w:pPr>
            <w:r>
              <w:t>-</w:t>
            </w:r>
          </w:p>
        </w:tc>
      </w:tr>
      <w:tr w:rsidR="002A310E" w14:paraId="57A634FA" w14:textId="77777777" w:rsidTr="00382AE3">
        <w:tc>
          <w:tcPr>
            <w:tcW w:w="6912" w:type="dxa"/>
            <w:tcBorders>
              <w:left w:val="single" w:sz="12" w:space="0" w:color="auto"/>
              <w:bottom w:val="single" w:sz="12" w:space="0" w:color="auto"/>
            </w:tcBorders>
            <w:shd w:val="clear" w:color="auto" w:fill="auto"/>
          </w:tcPr>
          <w:p w14:paraId="69CF4B12" w14:textId="77777777" w:rsidR="002A310E" w:rsidRDefault="008A646F" w:rsidP="00382AE3">
            <w:r>
              <w:t>Gebruik van lokale partners en systemen</w:t>
            </w:r>
          </w:p>
        </w:tc>
        <w:tc>
          <w:tcPr>
            <w:tcW w:w="955" w:type="dxa"/>
            <w:tcBorders>
              <w:bottom w:val="single" w:sz="12" w:space="0" w:color="auto"/>
              <w:right w:val="single" w:sz="12" w:space="0" w:color="auto"/>
            </w:tcBorders>
            <w:shd w:val="clear" w:color="auto" w:fill="auto"/>
          </w:tcPr>
          <w:p w14:paraId="507FF350" w14:textId="3836ED1E" w:rsidR="002A310E" w:rsidRDefault="00255F92" w:rsidP="00EC3199">
            <w:pPr>
              <w:jc w:val="center"/>
            </w:pPr>
            <w:r>
              <w:t>3</w:t>
            </w:r>
          </w:p>
        </w:tc>
      </w:tr>
      <w:tr w:rsidR="002A310E" w:rsidRPr="00EA0AA8" w14:paraId="44FDC790" w14:textId="77777777" w:rsidTr="00B06CE6">
        <w:tc>
          <w:tcPr>
            <w:tcW w:w="6912" w:type="dxa"/>
            <w:tcBorders>
              <w:top w:val="single" w:sz="12" w:space="0" w:color="auto"/>
              <w:left w:val="single" w:sz="12" w:space="0" w:color="auto"/>
              <w:bottom w:val="single" w:sz="12" w:space="0" w:color="auto"/>
            </w:tcBorders>
            <w:shd w:val="clear" w:color="auto" w:fill="D0CECE"/>
          </w:tcPr>
          <w:p w14:paraId="1E4B50C3"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4A65F892" w14:textId="16258D27" w:rsidR="002A310E" w:rsidRPr="00EA0AA8" w:rsidRDefault="00255F92" w:rsidP="00255F92">
            <w:pPr>
              <w:jc w:val="center"/>
              <w:rPr>
                <w:b/>
              </w:rPr>
            </w:pPr>
            <w:r>
              <w:rPr>
                <w:b/>
              </w:rPr>
              <w:t>3</w:t>
            </w:r>
          </w:p>
        </w:tc>
      </w:tr>
    </w:tbl>
    <w:p w14:paraId="56DDC6F0" w14:textId="77777777" w:rsidR="002A310E" w:rsidRDefault="002A310E" w:rsidP="00326699"/>
    <w:p w14:paraId="6551D360" w14:textId="591DD7DA" w:rsidR="00D32F98" w:rsidRDefault="00D32F98" w:rsidP="00E31C92">
      <w:pPr>
        <w:ind w:firstLine="227"/>
        <w:rPr>
          <w:b/>
        </w:rPr>
      </w:pPr>
      <w:r w:rsidRPr="00193994">
        <w:t>Ver</w:t>
      </w:r>
      <w:r>
        <w:t>andering sinds 2015: positief</w:t>
      </w:r>
      <w:r w:rsidRPr="00193994">
        <w:t xml:space="preserve"> =</w:t>
      </w:r>
      <w:r w:rsidR="005869DA">
        <w:t xml:space="preserve"> </w:t>
      </w:r>
      <w:r w:rsidRPr="00193994">
        <w:sym w:font="Wingdings" w:char="F0E9"/>
      </w:r>
    </w:p>
    <w:p w14:paraId="0F26F6AD" w14:textId="77777777" w:rsidR="00E20A86" w:rsidRDefault="00E20A86" w:rsidP="00E20A86"/>
    <w:p w14:paraId="659B18E5" w14:textId="33F050FE" w:rsidR="003A32D7" w:rsidRDefault="00D07878" w:rsidP="003A32D7">
      <w:pPr>
        <w:pStyle w:val="Heading2"/>
        <w:tabs>
          <w:tab w:val="left" w:pos="-1162"/>
          <w:tab w:val="left" w:pos="0"/>
          <w:tab w:val="num" w:pos="1160"/>
        </w:tabs>
        <w:spacing w:line="240" w:lineRule="auto"/>
        <w:ind w:hanging="1162"/>
        <w:rPr>
          <w:b w:val="0"/>
        </w:rPr>
      </w:pPr>
      <w:bookmarkStart w:id="33" w:name="_Toc491267898"/>
      <w:r>
        <w:t>4</w:t>
      </w:r>
      <w:r w:rsidR="00E276B2">
        <w:t>.</w:t>
      </w:r>
      <w:r w:rsidR="00A74DEC">
        <w:t>5</w:t>
      </w:r>
      <w:r w:rsidR="00E276B2">
        <w:tab/>
      </w:r>
      <w:r w:rsidR="003A32D7" w:rsidRPr="004D372F">
        <w:t>Beleidsevaluatie</w:t>
      </w:r>
      <w:bookmarkEnd w:id="33"/>
    </w:p>
    <w:p w14:paraId="0E89E84D" w14:textId="4EB78623" w:rsidR="00BC3839" w:rsidRDefault="00BC3839" w:rsidP="005869DA">
      <w:r>
        <w:t xml:space="preserve">De </w:t>
      </w:r>
      <w:r w:rsidRPr="00E31C92">
        <w:rPr>
          <w:i/>
        </w:rPr>
        <w:t>Evaluation and Monitoring Unit</w:t>
      </w:r>
      <w:r w:rsidRPr="001A4548">
        <w:t xml:space="preserve"> </w:t>
      </w:r>
      <w:r>
        <w:t xml:space="preserve">van UNCTAD is </w:t>
      </w:r>
      <w:r w:rsidRPr="001A4548">
        <w:t xml:space="preserve">belast met de coördinatie van alle interne en externe evaluaties van </w:t>
      </w:r>
      <w:r>
        <w:t>de organisatie en haar activiteiten</w:t>
      </w:r>
      <w:r w:rsidRPr="001A4548">
        <w:t xml:space="preserve"> en heeft een expliciet mandaat om </w:t>
      </w:r>
      <w:r w:rsidRPr="00EB79A1">
        <w:rPr>
          <w:i/>
        </w:rPr>
        <w:t>Results-Based Management</w:t>
      </w:r>
      <w:r w:rsidRPr="001A4548">
        <w:t xml:space="preserve"> in de organisatie te bevorderen.</w:t>
      </w:r>
      <w:r>
        <w:t xml:space="preserve"> </w:t>
      </w:r>
    </w:p>
    <w:p w14:paraId="094353AF" w14:textId="77777777" w:rsidR="00BC3839" w:rsidRDefault="00BC3839" w:rsidP="005869DA"/>
    <w:p w14:paraId="20B8FD72" w14:textId="514C6CF1" w:rsidR="001E4E2E" w:rsidRDefault="001E4E2E" w:rsidP="005869DA">
      <w:r w:rsidRPr="001A4548">
        <w:t xml:space="preserve">De </w:t>
      </w:r>
      <w:r>
        <w:t xml:space="preserve">unit </w:t>
      </w:r>
      <w:r w:rsidRPr="001A4548">
        <w:t>rapporteert aan de Secretaris-Generaal</w:t>
      </w:r>
      <w:r w:rsidRPr="001A4548" w:rsidDel="00C56F67">
        <w:t xml:space="preserve"> </w:t>
      </w:r>
      <w:r>
        <w:t xml:space="preserve">via de </w:t>
      </w:r>
      <w:r w:rsidR="00882A19">
        <w:t xml:space="preserve">Plaatsvervangend </w:t>
      </w:r>
      <w:r w:rsidR="005869DA">
        <w:t>Secretaris-Generaal</w:t>
      </w:r>
      <w:r w:rsidRPr="001A4548">
        <w:t xml:space="preserve">. </w:t>
      </w:r>
      <w:r>
        <w:t xml:space="preserve">Volgens het JIU-rapport uit 2012 over evaluatiediensten binnen de VN was de evaluatiedienst van UNCTAD destijds slechts </w:t>
      </w:r>
      <w:r w:rsidRPr="002C3B05">
        <w:t xml:space="preserve">beperkt </w:t>
      </w:r>
      <w:r>
        <w:t xml:space="preserve">onafhankelijk van het management. De JIU deed daarom de aanbeveling dat UNCTAD </w:t>
      </w:r>
      <w:r w:rsidRPr="002C3B05">
        <w:t xml:space="preserve">de </w:t>
      </w:r>
      <w:r>
        <w:t xml:space="preserve">positie </w:t>
      </w:r>
      <w:r w:rsidRPr="002C3B05">
        <w:t xml:space="preserve">van de evaluatiedienst </w:t>
      </w:r>
      <w:r>
        <w:t xml:space="preserve">in de organisatie zou moeten herzien om de onafhankelijkheid te waarborgen. Gedurende de laatste twee jaar is de unit zich minder op coördinatie van programmarapportages gaan richten en heeft daarmee de focus op evaluaties versterkt; ook zijn </w:t>
      </w:r>
      <w:r w:rsidRPr="00F8725D">
        <w:t xml:space="preserve">stappen gezet om de onafhankelijkheid beter te waarborgen. Dit heeft tot resultaat geleid: het meest recente tweejaarlijkse onderzoek door OIOS naar evaluatie-units in het VN-secretariaat plaatst de unit van UNCTAD in de hoogste categorie van </w:t>
      </w:r>
      <w:r w:rsidRPr="00F8725D">
        <w:rPr>
          <w:i/>
        </w:rPr>
        <w:t>Stand-alone evaluation unit</w:t>
      </w:r>
      <w:r w:rsidRPr="00F8725D">
        <w:t>.</w:t>
      </w:r>
    </w:p>
    <w:p w14:paraId="382FF63A" w14:textId="77777777" w:rsidR="001E4E2E" w:rsidRDefault="001E4E2E" w:rsidP="005869DA"/>
    <w:p w14:paraId="2D107D5E" w14:textId="6733B785" w:rsidR="00C96AEB" w:rsidRPr="00BD2542" w:rsidRDefault="00BC3839" w:rsidP="005869DA">
      <w:r w:rsidRPr="001A4548">
        <w:t xml:space="preserve">Het </w:t>
      </w:r>
      <w:r w:rsidRPr="00C82352">
        <w:t>evaluatiebeleid uit 2011 is</w:t>
      </w:r>
      <w:r w:rsidRPr="001A4548">
        <w:t xml:space="preserve"> uitgebreid en helder en heeft als doel de transparantie, coherentie en efficiëntie binnen de organisatie systematisch te vergroten. </w:t>
      </w:r>
      <w:r>
        <w:t xml:space="preserve">Het beleid wordt momenteel herzien om het in lijn te brengen met de standaarden van de United Nations Evaluation Group (UNEG) uit 2016. </w:t>
      </w:r>
      <w:r w:rsidR="00AF3055">
        <w:t>Aanbevelingen van evaluaties worden doorgaans goed opgevolgd en d</w:t>
      </w:r>
      <w:r w:rsidRPr="001A4548">
        <w:t xml:space="preserve">oordat de </w:t>
      </w:r>
      <w:r w:rsidRPr="007B6DB3">
        <w:rPr>
          <w:i/>
        </w:rPr>
        <w:t>Evaluation Unit</w:t>
      </w:r>
      <w:r w:rsidRPr="001A4548">
        <w:t xml:space="preserve"> ook een rol heeft in de review van nieuwe projecten wordt de </w:t>
      </w:r>
      <w:r w:rsidRPr="001A4548">
        <w:lastRenderedPageBreak/>
        <w:t>kwaliteit van de projecten en programma’s verhoogd</w:t>
      </w:r>
      <w:r>
        <w:t xml:space="preserve">. Het </w:t>
      </w:r>
      <w:r>
        <w:rPr>
          <w:i/>
        </w:rPr>
        <w:t>United Nations Office of Internal Oversight Service</w:t>
      </w:r>
      <w:r>
        <w:t xml:space="preserve"> (OIOS) was in hun rapport uit 2015 </w:t>
      </w:r>
      <w:r w:rsidR="00AF3055">
        <w:t xml:space="preserve">wel </w:t>
      </w:r>
      <w:r>
        <w:t>kritisch over de beperkte middelen die beschikbaar zijn gesteld voor monitoren en evaluatie van resultaten</w:t>
      </w:r>
      <w:r w:rsidR="00A64324" w:rsidRPr="00970126">
        <w:t xml:space="preserve"> en de reikwijdte van evaluaties blijft tot op heden erg beperkt</w:t>
      </w:r>
      <w:r w:rsidRPr="00970126">
        <w:t>.</w:t>
      </w:r>
      <w:r w:rsidR="00AF3055" w:rsidRPr="00970126">
        <w:t xml:space="preserve"> </w:t>
      </w:r>
      <w:r w:rsidR="00A7037D" w:rsidRPr="00970126">
        <w:t xml:space="preserve">Volgens OIOS </w:t>
      </w:r>
      <w:r w:rsidR="00AF3055" w:rsidRPr="00970126">
        <w:t>is h</w:t>
      </w:r>
      <w:r w:rsidRPr="00970126">
        <w:t>et U</w:t>
      </w:r>
      <w:r>
        <w:t xml:space="preserve">NCTAD management </w:t>
      </w:r>
      <w:r w:rsidR="00A7037D">
        <w:t xml:space="preserve">goed </w:t>
      </w:r>
      <w:r w:rsidR="00AF3055">
        <w:t xml:space="preserve">aan de slag gegaan met </w:t>
      </w:r>
      <w:r w:rsidR="00A64324">
        <w:t>haar</w:t>
      </w:r>
      <w:r w:rsidR="00A7037D">
        <w:t xml:space="preserve"> aanbeveling.</w:t>
      </w:r>
      <w:r w:rsidR="00AF3055">
        <w:t xml:space="preserve"> Informatievoorziening over de concrete stappen die UNCTAD heeft gezet om de evaluatiefunctie te versterken is echter vooral beperkt tot informele </w:t>
      </w:r>
      <w:r>
        <w:t>managementbriefings</w:t>
      </w:r>
      <w:r w:rsidR="00AF3055">
        <w:t xml:space="preserve"> en bilaterale gesprekken zoals </w:t>
      </w:r>
      <w:r>
        <w:t xml:space="preserve">in de beleidsdialoog met Nederland. </w:t>
      </w:r>
      <w:r w:rsidR="00AF3055">
        <w:t>Een van deze stappen betreft de verplichting aan</w:t>
      </w:r>
      <w:r>
        <w:t xml:space="preserve"> projectdirecteuren 3% van het budget </w:t>
      </w:r>
      <w:r w:rsidR="00AF3055">
        <w:t xml:space="preserve">te </w:t>
      </w:r>
      <w:r>
        <w:t xml:space="preserve">reserveren voor evaluaties. </w:t>
      </w:r>
    </w:p>
    <w:p w14:paraId="1433EB9B" w14:textId="77777777" w:rsidR="003A32D7" w:rsidRDefault="003A32D7"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0153B6FC" w14:textId="77777777" w:rsidTr="00B06CE6">
        <w:tc>
          <w:tcPr>
            <w:tcW w:w="6912" w:type="dxa"/>
            <w:tcBorders>
              <w:top w:val="single" w:sz="12" w:space="0" w:color="auto"/>
              <w:left w:val="single" w:sz="12" w:space="0" w:color="auto"/>
              <w:bottom w:val="single" w:sz="12" w:space="0" w:color="auto"/>
            </w:tcBorders>
            <w:shd w:val="clear" w:color="auto" w:fill="D0CECE"/>
          </w:tcPr>
          <w:p w14:paraId="26E25DB8"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55322F76" w14:textId="77777777" w:rsidR="002A310E" w:rsidRPr="00EA0AA8" w:rsidRDefault="002A310E" w:rsidP="00382AE3">
            <w:pPr>
              <w:rPr>
                <w:b/>
              </w:rPr>
            </w:pPr>
            <w:r w:rsidRPr="00EA0AA8">
              <w:rPr>
                <w:b/>
              </w:rPr>
              <w:t>Score</w:t>
            </w:r>
          </w:p>
        </w:tc>
      </w:tr>
      <w:tr w:rsidR="002A310E" w14:paraId="3125C371" w14:textId="77777777" w:rsidTr="00382AE3">
        <w:tc>
          <w:tcPr>
            <w:tcW w:w="6912" w:type="dxa"/>
            <w:tcBorders>
              <w:top w:val="single" w:sz="12" w:space="0" w:color="auto"/>
              <w:left w:val="single" w:sz="12" w:space="0" w:color="auto"/>
            </w:tcBorders>
            <w:shd w:val="clear" w:color="auto" w:fill="auto"/>
          </w:tcPr>
          <w:p w14:paraId="039F915B" w14:textId="77777777" w:rsidR="002A310E" w:rsidRDefault="008A646F" w:rsidP="00382AE3">
            <w:r>
              <w:t>Helder vastgelegd evaluatiebeleid</w:t>
            </w:r>
          </w:p>
        </w:tc>
        <w:tc>
          <w:tcPr>
            <w:tcW w:w="955" w:type="dxa"/>
            <w:tcBorders>
              <w:top w:val="single" w:sz="12" w:space="0" w:color="auto"/>
              <w:right w:val="single" w:sz="12" w:space="0" w:color="auto"/>
            </w:tcBorders>
            <w:shd w:val="clear" w:color="auto" w:fill="auto"/>
          </w:tcPr>
          <w:p w14:paraId="1B97FF31" w14:textId="6536DD97" w:rsidR="002A310E" w:rsidRDefault="00A7037D" w:rsidP="00113910">
            <w:pPr>
              <w:jc w:val="center"/>
            </w:pPr>
            <w:r>
              <w:t>3</w:t>
            </w:r>
          </w:p>
        </w:tc>
      </w:tr>
      <w:tr w:rsidR="002A310E" w14:paraId="1B6AA367" w14:textId="77777777" w:rsidTr="00382AE3">
        <w:tc>
          <w:tcPr>
            <w:tcW w:w="6912" w:type="dxa"/>
            <w:tcBorders>
              <w:left w:val="single" w:sz="12" w:space="0" w:color="auto"/>
            </w:tcBorders>
            <w:shd w:val="clear" w:color="auto" w:fill="auto"/>
          </w:tcPr>
          <w:p w14:paraId="10C788ED" w14:textId="77777777" w:rsidR="002A310E" w:rsidRDefault="008A646F" w:rsidP="00382AE3">
            <w:r>
              <w:t>Inrichting evaluatiefunctie</w:t>
            </w:r>
          </w:p>
        </w:tc>
        <w:tc>
          <w:tcPr>
            <w:tcW w:w="955" w:type="dxa"/>
            <w:tcBorders>
              <w:right w:val="single" w:sz="12" w:space="0" w:color="auto"/>
            </w:tcBorders>
            <w:shd w:val="clear" w:color="auto" w:fill="auto"/>
          </w:tcPr>
          <w:p w14:paraId="51DCB723" w14:textId="69C2E58A" w:rsidR="002A310E" w:rsidRDefault="00A7037D" w:rsidP="00113910">
            <w:pPr>
              <w:jc w:val="center"/>
            </w:pPr>
            <w:r>
              <w:t>2</w:t>
            </w:r>
          </w:p>
        </w:tc>
      </w:tr>
      <w:tr w:rsidR="002A310E" w14:paraId="19428535" w14:textId="77777777" w:rsidTr="00382AE3">
        <w:tc>
          <w:tcPr>
            <w:tcW w:w="6912" w:type="dxa"/>
            <w:tcBorders>
              <w:left w:val="single" w:sz="12" w:space="0" w:color="auto"/>
            </w:tcBorders>
            <w:shd w:val="clear" w:color="auto" w:fill="auto"/>
          </w:tcPr>
          <w:p w14:paraId="650B74F1" w14:textId="77777777" w:rsidR="002A310E" w:rsidRDefault="008A646F" w:rsidP="00382AE3">
            <w:r>
              <w:t>Onafhankelijkheid eval</w:t>
            </w:r>
            <w:r w:rsidR="00537DB3">
              <w:t>uatie-</w:t>
            </w:r>
            <w:r>
              <w:t>eenheid</w:t>
            </w:r>
          </w:p>
        </w:tc>
        <w:tc>
          <w:tcPr>
            <w:tcW w:w="955" w:type="dxa"/>
            <w:tcBorders>
              <w:right w:val="single" w:sz="12" w:space="0" w:color="auto"/>
            </w:tcBorders>
            <w:shd w:val="clear" w:color="auto" w:fill="auto"/>
          </w:tcPr>
          <w:p w14:paraId="0392292E" w14:textId="4D78404C" w:rsidR="002A310E" w:rsidRDefault="00A7037D" w:rsidP="00113910">
            <w:pPr>
              <w:jc w:val="center"/>
            </w:pPr>
            <w:r>
              <w:t>3</w:t>
            </w:r>
          </w:p>
        </w:tc>
      </w:tr>
      <w:tr w:rsidR="00AA4C2B" w14:paraId="15BCB33D" w14:textId="77777777" w:rsidTr="00382AE3">
        <w:tc>
          <w:tcPr>
            <w:tcW w:w="6912" w:type="dxa"/>
            <w:tcBorders>
              <w:left w:val="single" w:sz="12" w:space="0" w:color="auto"/>
            </w:tcBorders>
            <w:shd w:val="clear" w:color="auto" w:fill="auto"/>
          </w:tcPr>
          <w:p w14:paraId="27FCFE46" w14:textId="77777777" w:rsidR="00AA4C2B" w:rsidRDefault="00AA4C2B" w:rsidP="00382AE3">
            <w:r>
              <w:t>Reikwijdte en relevantie evaluaties</w:t>
            </w:r>
          </w:p>
        </w:tc>
        <w:tc>
          <w:tcPr>
            <w:tcW w:w="955" w:type="dxa"/>
            <w:tcBorders>
              <w:right w:val="single" w:sz="12" w:space="0" w:color="auto"/>
            </w:tcBorders>
            <w:shd w:val="clear" w:color="auto" w:fill="auto"/>
          </w:tcPr>
          <w:p w14:paraId="2FB389DD" w14:textId="2764894E" w:rsidR="00AA4C2B" w:rsidRDefault="00A7037D" w:rsidP="00113910">
            <w:pPr>
              <w:jc w:val="center"/>
            </w:pPr>
            <w:r>
              <w:t>2</w:t>
            </w:r>
          </w:p>
        </w:tc>
      </w:tr>
      <w:tr w:rsidR="002A310E" w14:paraId="64A49276" w14:textId="77777777" w:rsidTr="00382AE3">
        <w:tc>
          <w:tcPr>
            <w:tcW w:w="6912" w:type="dxa"/>
            <w:tcBorders>
              <w:left w:val="single" w:sz="12" w:space="0" w:color="auto"/>
              <w:bottom w:val="single" w:sz="12" w:space="0" w:color="auto"/>
            </w:tcBorders>
            <w:shd w:val="clear" w:color="auto" w:fill="auto"/>
          </w:tcPr>
          <w:p w14:paraId="0334D75F" w14:textId="77777777" w:rsidR="002A310E" w:rsidRDefault="008A646F" w:rsidP="00382AE3">
            <w:r>
              <w:t>Follow up aanbevelingen evaluaties</w:t>
            </w:r>
          </w:p>
        </w:tc>
        <w:tc>
          <w:tcPr>
            <w:tcW w:w="955" w:type="dxa"/>
            <w:tcBorders>
              <w:bottom w:val="single" w:sz="12" w:space="0" w:color="auto"/>
              <w:right w:val="single" w:sz="12" w:space="0" w:color="auto"/>
            </w:tcBorders>
            <w:shd w:val="clear" w:color="auto" w:fill="auto"/>
          </w:tcPr>
          <w:p w14:paraId="1D37116F" w14:textId="05D1AE9C" w:rsidR="002A310E" w:rsidRDefault="00A7037D" w:rsidP="00113910">
            <w:pPr>
              <w:jc w:val="center"/>
            </w:pPr>
            <w:r>
              <w:t>3</w:t>
            </w:r>
          </w:p>
        </w:tc>
      </w:tr>
      <w:tr w:rsidR="002A310E" w:rsidRPr="00EA0AA8" w14:paraId="2E49686B" w14:textId="77777777" w:rsidTr="00B06CE6">
        <w:tc>
          <w:tcPr>
            <w:tcW w:w="6912" w:type="dxa"/>
            <w:tcBorders>
              <w:top w:val="single" w:sz="12" w:space="0" w:color="auto"/>
              <w:left w:val="single" w:sz="12" w:space="0" w:color="auto"/>
              <w:bottom w:val="single" w:sz="12" w:space="0" w:color="auto"/>
            </w:tcBorders>
            <w:shd w:val="clear" w:color="auto" w:fill="D0CECE"/>
          </w:tcPr>
          <w:p w14:paraId="1893A01F"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72728446" w14:textId="195B5B08" w:rsidR="002A310E" w:rsidRPr="00EA0AA8" w:rsidRDefault="00A7037D" w:rsidP="00113910">
            <w:pPr>
              <w:jc w:val="center"/>
              <w:rPr>
                <w:b/>
              </w:rPr>
            </w:pPr>
            <w:r>
              <w:rPr>
                <w:b/>
              </w:rPr>
              <w:t>3</w:t>
            </w:r>
          </w:p>
        </w:tc>
      </w:tr>
    </w:tbl>
    <w:p w14:paraId="5137956E" w14:textId="77777777" w:rsidR="002A310E" w:rsidRDefault="002A310E" w:rsidP="00326699"/>
    <w:p w14:paraId="493E7AD3" w14:textId="69AE5611" w:rsidR="00D32F98" w:rsidRPr="00272209" w:rsidRDefault="00D32F98" w:rsidP="007B6DB3">
      <w:pPr>
        <w:ind w:firstLine="227"/>
        <w:rPr>
          <w:b/>
          <w:lang w:val="en-US"/>
        </w:rPr>
      </w:pPr>
      <w:r w:rsidRPr="00272209">
        <w:rPr>
          <w:lang w:val="en-US"/>
        </w:rPr>
        <w:t>Verandering sinds 2015: positief =</w:t>
      </w:r>
      <w:r w:rsidR="005869DA">
        <w:rPr>
          <w:lang w:val="en-US"/>
        </w:rPr>
        <w:t xml:space="preserve"> </w:t>
      </w:r>
      <w:r w:rsidRPr="00193994">
        <w:sym w:font="Wingdings" w:char="F0E9"/>
      </w:r>
    </w:p>
    <w:p w14:paraId="3BC6FA7D" w14:textId="628BA962" w:rsidR="00E20A86" w:rsidRPr="00272209" w:rsidRDefault="00E20A86" w:rsidP="00326699">
      <w:pPr>
        <w:rPr>
          <w:lang w:val="en-US"/>
        </w:rPr>
      </w:pPr>
    </w:p>
    <w:p w14:paraId="5B846E24" w14:textId="640E3CBC" w:rsidR="00DE343C" w:rsidRPr="00272209" w:rsidRDefault="00D07878" w:rsidP="004D372F">
      <w:pPr>
        <w:pStyle w:val="Heading2"/>
        <w:tabs>
          <w:tab w:val="left" w:pos="-1162"/>
          <w:tab w:val="left" w:pos="0"/>
          <w:tab w:val="num" w:pos="1160"/>
        </w:tabs>
        <w:spacing w:line="240" w:lineRule="auto"/>
        <w:ind w:hanging="1162"/>
        <w:rPr>
          <w:lang w:val="en-US"/>
        </w:rPr>
      </w:pPr>
      <w:bookmarkStart w:id="34" w:name="_Toc348364671"/>
      <w:bookmarkStart w:id="35" w:name="_Toc491267899"/>
      <w:r w:rsidRPr="00272209">
        <w:rPr>
          <w:lang w:val="en-US"/>
        </w:rPr>
        <w:t>4</w:t>
      </w:r>
      <w:r w:rsidR="004D372F" w:rsidRPr="00272209">
        <w:rPr>
          <w:lang w:val="en-US"/>
        </w:rPr>
        <w:t>.</w:t>
      </w:r>
      <w:r w:rsidR="00A74DEC" w:rsidRPr="00272209">
        <w:rPr>
          <w:lang w:val="en-US"/>
        </w:rPr>
        <w:t>6</w:t>
      </w:r>
      <w:r w:rsidR="004D372F" w:rsidRPr="00272209">
        <w:rPr>
          <w:lang w:val="en-US"/>
        </w:rPr>
        <w:tab/>
      </w:r>
      <w:r w:rsidR="00DE343C" w:rsidRPr="00272209">
        <w:rPr>
          <w:lang w:val="en-US"/>
        </w:rPr>
        <w:t>Human Resource Management</w:t>
      </w:r>
      <w:bookmarkEnd w:id="34"/>
      <w:bookmarkEnd w:id="35"/>
    </w:p>
    <w:p w14:paraId="48750EF2" w14:textId="6463B98E" w:rsidR="00404913" w:rsidRPr="00A97A10" w:rsidRDefault="00404913" w:rsidP="005869DA">
      <w:pPr>
        <w:rPr>
          <w:b/>
        </w:rPr>
      </w:pPr>
      <w:r w:rsidRPr="00A922C4">
        <w:t>UNCTAD voldoet formeel aan de VN-regels voor het aannemen van personeel (incl. de aandacht voor geografische en genderverdeling).</w:t>
      </w:r>
      <w:r w:rsidR="00517FD4">
        <w:t xml:space="preserve"> </w:t>
      </w:r>
      <w:r>
        <w:t>He</w:t>
      </w:r>
      <w:r w:rsidRPr="00A922C4">
        <w:t xml:space="preserve">t JIU-rapport </w:t>
      </w:r>
      <w:r w:rsidR="00F9410C">
        <w:t xml:space="preserve">uit 2012 </w:t>
      </w:r>
      <w:r w:rsidR="00517FD4" w:rsidRPr="00C82352">
        <w:t>was</w:t>
      </w:r>
      <w:r w:rsidR="005E438A" w:rsidRPr="00C82352">
        <w:t xml:space="preserve"> </w:t>
      </w:r>
      <w:r w:rsidRPr="00C82352">
        <w:t>kritisch</w:t>
      </w:r>
      <w:r w:rsidRPr="00A922C4">
        <w:t xml:space="preserve"> over </w:t>
      </w:r>
      <w:r w:rsidR="00F9410C">
        <w:t xml:space="preserve">het personeelsbeleid van </w:t>
      </w:r>
      <w:r>
        <w:t>UNCTAD</w:t>
      </w:r>
      <w:r w:rsidR="00EA4AA7">
        <w:t>, onder meer vanwege</w:t>
      </w:r>
      <w:r>
        <w:t xml:space="preserve"> het gebrek aan transparantie in het selectieproces</w:t>
      </w:r>
      <w:r w:rsidR="00EA4AA7">
        <w:t>;</w:t>
      </w:r>
      <w:r>
        <w:t xml:space="preserve"> de lange tijd </w:t>
      </w:r>
      <w:r w:rsidRPr="00A922C4">
        <w:t>die het kost</w:t>
      </w:r>
      <w:r w:rsidR="00EA4AA7">
        <w:t>te</w:t>
      </w:r>
      <w:r w:rsidRPr="00A922C4">
        <w:t xml:space="preserve"> om vacatures te vullen</w:t>
      </w:r>
      <w:r w:rsidR="00EA4AA7">
        <w:t xml:space="preserve">; en het onvoldoende gediversifieerde aanbod van </w:t>
      </w:r>
      <w:r w:rsidR="00EA4AA7" w:rsidRPr="00F9410C">
        <w:t>gekwalificeerde sollicitanten</w:t>
      </w:r>
      <w:r w:rsidRPr="00F9410C">
        <w:t xml:space="preserve">. </w:t>
      </w:r>
      <w:r w:rsidR="00D52AF1" w:rsidRPr="00F9410C">
        <w:t>Sindsdien is een aantal stappen gezet ter verbetering:</w:t>
      </w:r>
      <w:r w:rsidRPr="00F9410C">
        <w:t xml:space="preserve"> </w:t>
      </w:r>
      <w:r w:rsidRPr="00C82352">
        <w:t xml:space="preserve">UNCTAD lanceerde in 2013 een nieuwe webpagina voor vacatures en </w:t>
      </w:r>
      <w:r w:rsidR="00F9410C" w:rsidRPr="00C82352">
        <w:t xml:space="preserve">in </w:t>
      </w:r>
      <w:r w:rsidRPr="00C82352">
        <w:t xml:space="preserve">2014 </w:t>
      </w:r>
      <w:r w:rsidR="00F9410C" w:rsidRPr="00C82352">
        <w:t>werden</w:t>
      </w:r>
      <w:r w:rsidRPr="00C82352">
        <w:t xml:space="preserve"> </w:t>
      </w:r>
      <w:r w:rsidRPr="00C82352">
        <w:rPr>
          <w:i/>
        </w:rPr>
        <w:t>gender focal points</w:t>
      </w:r>
      <w:r w:rsidRPr="00C82352">
        <w:t xml:space="preserve"> aangesteld. </w:t>
      </w:r>
      <w:r w:rsidR="00F9410C" w:rsidRPr="00F9410C">
        <w:t>H</w:t>
      </w:r>
      <w:r w:rsidR="00D52AF1" w:rsidRPr="00F9410C">
        <w:t>et</w:t>
      </w:r>
      <w:r w:rsidR="00D52AF1" w:rsidRPr="00F85675">
        <w:t xml:space="preserve"> </w:t>
      </w:r>
      <w:r w:rsidR="00D52AF1" w:rsidRPr="00F85675">
        <w:rPr>
          <w:i/>
        </w:rPr>
        <w:t>United Nations Office of Internal Oversight Services (OIOS)</w:t>
      </w:r>
      <w:r w:rsidR="00D52AF1" w:rsidRPr="00F85675">
        <w:t xml:space="preserve"> </w:t>
      </w:r>
      <w:r w:rsidR="00D52AF1">
        <w:t>ging in oktober 2014 nog dieper in op het personeelsbeleid</w:t>
      </w:r>
      <w:r w:rsidR="00F9410C">
        <w:t xml:space="preserve"> en oordeelde dat dit</w:t>
      </w:r>
      <w:r w:rsidR="00D52AF1">
        <w:t xml:space="preserve"> inmiddels </w:t>
      </w:r>
      <w:r w:rsidR="00410B95">
        <w:t>“</w:t>
      </w:r>
      <w:r w:rsidR="00D52AF1" w:rsidRPr="00246DF5">
        <w:rPr>
          <w:i/>
        </w:rPr>
        <w:t>partially satisfactory</w:t>
      </w:r>
      <w:r w:rsidR="00410B95">
        <w:rPr>
          <w:i/>
        </w:rPr>
        <w:t>”</w:t>
      </w:r>
      <w:r w:rsidR="00D52AF1">
        <w:t xml:space="preserve"> </w:t>
      </w:r>
      <w:r w:rsidR="00F9410C">
        <w:t>was. OIOS constateerde v</w:t>
      </w:r>
      <w:r w:rsidR="00D52AF1">
        <w:t xml:space="preserve">oortgang op alle indicatoren maar </w:t>
      </w:r>
      <w:r w:rsidR="00F9410C">
        <w:t>deed</w:t>
      </w:r>
      <w:r w:rsidR="00D52AF1">
        <w:t xml:space="preserve"> tevens</w:t>
      </w:r>
      <w:r w:rsidR="00F9410C">
        <w:t xml:space="preserve"> enkele</w:t>
      </w:r>
      <w:r w:rsidR="00D52AF1">
        <w:t xml:space="preserve"> </w:t>
      </w:r>
      <w:r w:rsidR="00F9410C">
        <w:t xml:space="preserve">belangrijke </w:t>
      </w:r>
      <w:r w:rsidR="00FC1DF1">
        <w:t>a</w:t>
      </w:r>
      <w:r w:rsidR="00D52AF1">
        <w:t xml:space="preserve">anvullende aanbevelingen. Ook hiermee is UNCTAD aan de slag gegaan: momenteel worden alle beschikbare </w:t>
      </w:r>
      <w:r w:rsidR="00D52AF1" w:rsidRPr="00F9410C">
        <w:t>functies</w:t>
      </w:r>
      <w:r w:rsidR="00D52AF1" w:rsidRPr="00C82352">
        <w:t xml:space="preserve"> – inclusief tijdelijke en opdrachten voor consultants – op de VN-wervingswebsite </w:t>
      </w:r>
      <w:r w:rsidR="00F9410C" w:rsidRPr="00C82352">
        <w:t>gepubliceerd</w:t>
      </w:r>
      <w:r w:rsidR="00D52AF1" w:rsidRPr="00C82352">
        <w:t xml:space="preserve"> en zijn de interne selectieprocessen aangepakt. </w:t>
      </w:r>
      <w:r w:rsidR="0014193E">
        <w:t>Verder</w:t>
      </w:r>
      <w:r w:rsidR="00D52AF1" w:rsidRPr="00C82352">
        <w:t xml:space="preserve"> </w:t>
      </w:r>
      <w:r w:rsidR="0014193E">
        <w:t>wordt</w:t>
      </w:r>
      <w:r w:rsidR="00D52AF1" w:rsidRPr="00C82352">
        <w:t xml:space="preserve"> het nieuwe VN-personeelsbeleid</w:t>
      </w:r>
      <w:r w:rsidR="0014193E">
        <w:t xml:space="preserve"> uitgerold</w:t>
      </w:r>
      <w:r w:rsidR="00D52AF1" w:rsidRPr="00C82352">
        <w:t>, dat in fases ook op UNCTAD van toepassing wordt</w:t>
      </w:r>
      <w:r w:rsidR="00F9410C" w:rsidRPr="00C82352">
        <w:t xml:space="preserve"> en waarmee de interne mobiliteit van UNCTAD-medewerkers zal worden vergroot</w:t>
      </w:r>
      <w:r w:rsidR="00D52AF1" w:rsidRPr="00C82352">
        <w:t xml:space="preserve">. </w:t>
      </w:r>
      <w:r w:rsidR="002C0465">
        <w:t xml:space="preserve">Een groot deel van UNCTAD’s personeel bezet echter vooralsnog al jarenlang dezelfde functie onder het mom van expertisebehoud. </w:t>
      </w:r>
      <w:r w:rsidR="002B53EE">
        <w:t xml:space="preserve">Op het gebied van gender scoort de organisatie gemiddeld, met </w:t>
      </w:r>
      <w:r w:rsidR="000D73C1">
        <w:t xml:space="preserve">ongeveer 40% procent van de </w:t>
      </w:r>
      <w:r w:rsidR="00656084">
        <w:t>posities</w:t>
      </w:r>
      <w:r w:rsidR="000D73C1">
        <w:t xml:space="preserve"> vanaf P2 niveau </w:t>
      </w:r>
      <w:r w:rsidR="00656084">
        <w:t>gevuld door vrouwen</w:t>
      </w:r>
      <w:r w:rsidR="000D73C1">
        <w:t xml:space="preserve">. </w:t>
      </w:r>
      <w:r w:rsidR="00970126">
        <w:t xml:space="preserve">Binnen het hogere management (vanaf D2 niveau) geldt eenzelfde genderbalans. </w:t>
      </w:r>
      <w:r w:rsidR="00D07E5B">
        <w:t xml:space="preserve">Ook ontwikkelingslanden zijn in UNCTAD’s personeelsbestand op zowel lager als management niveau goed vertegenwoordigd. </w:t>
      </w:r>
      <w:r w:rsidRPr="00C82352">
        <w:t>UNCTAD rapporteer</w:t>
      </w:r>
      <w:r w:rsidR="00635082">
        <w:t>d</w:t>
      </w:r>
      <w:r w:rsidR="00FC1DF1">
        <w:t>e</w:t>
      </w:r>
      <w:r w:rsidR="00635082">
        <w:t xml:space="preserve"> tot 2015</w:t>
      </w:r>
      <w:r w:rsidRPr="00C82352">
        <w:t xml:space="preserve"> bij elke TDB over de stand van zaken van </w:t>
      </w:r>
      <w:r w:rsidR="00F9410C">
        <w:t>h</w:t>
      </w:r>
      <w:r w:rsidR="00635082">
        <w:t>et personeelsbeleid</w:t>
      </w:r>
      <w:r w:rsidR="00351892">
        <w:t>, sindsdien is formele informatievoorziening echter achterwege gebleven</w:t>
      </w:r>
      <w:r w:rsidRPr="00C82352">
        <w:t>.</w:t>
      </w:r>
    </w:p>
    <w:p w14:paraId="74C0182E" w14:textId="77777777" w:rsidR="002A310E" w:rsidRDefault="002A310E" w:rsidP="00326699"/>
    <w:p w14:paraId="4DE9474B" w14:textId="77777777" w:rsidR="0045767D" w:rsidRDefault="0045767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6B60C5E1" w14:textId="77777777" w:rsidTr="0045767D">
        <w:tc>
          <w:tcPr>
            <w:tcW w:w="6747" w:type="dxa"/>
            <w:tcBorders>
              <w:top w:val="single" w:sz="12" w:space="0" w:color="auto"/>
              <w:left w:val="single" w:sz="12" w:space="0" w:color="auto"/>
              <w:bottom w:val="single" w:sz="12" w:space="0" w:color="auto"/>
            </w:tcBorders>
            <w:shd w:val="clear" w:color="auto" w:fill="D0CECE"/>
          </w:tcPr>
          <w:p w14:paraId="086C8E28" w14:textId="44DC2E4E" w:rsidR="002A310E" w:rsidRPr="00EA0AA8" w:rsidRDefault="002A310E" w:rsidP="00382AE3">
            <w:pPr>
              <w:rPr>
                <w:b/>
              </w:rPr>
            </w:pPr>
            <w:r w:rsidRPr="00EA0AA8">
              <w:rPr>
                <w:b/>
              </w:rPr>
              <w:lastRenderedPageBreak/>
              <w:t>Onderdeel</w:t>
            </w:r>
          </w:p>
        </w:tc>
        <w:tc>
          <w:tcPr>
            <w:tcW w:w="950" w:type="dxa"/>
            <w:tcBorders>
              <w:top w:val="single" w:sz="12" w:space="0" w:color="auto"/>
              <w:bottom w:val="single" w:sz="12" w:space="0" w:color="auto"/>
              <w:right w:val="single" w:sz="12" w:space="0" w:color="auto"/>
            </w:tcBorders>
            <w:shd w:val="clear" w:color="auto" w:fill="D0CECE"/>
          </w:tcPr>
          <w:p w14:paraId="4796484E" w14:textId="77777777" w:rsidR="002A310E" w:rsidRPr="00EA0AA8" w:rsidRDefault="002A310E" w:rsidP="00382AE3">
            <w:pPr>
              <w:rPr>
                <w:b/>
              </w:rPr>
            </w:pPr>
            <w:r w:rsidRPr="00EA0AA8">
              <w:rPr>
                <w:b/>
              </w:rPr>
              <w:t>Score</w:t>
            </w:r>
          </w:p>
        </w:tc>
      </w:tr>
      <w:tr w:rsidR="002A310E" w14:paraId="54C423C0" w14:textId="77777777" w:rsidTr="0045767D">
        <w:tc>
          <w:tcPr>
            <w:tcW w:w="6747" w:type="dxa"/>
            <w:tcBorders>
              <w:top w:val="single" w:sz="12" w:space="0" w:color="auto"/>
              <w:left w:val="single" w:sz="12" w:space="0" w:color="auto"/>
            </w:tcBorders>
            <w:shd w:val="clear" w:color="auto" w:fill="auto"/>
          </w:tcPr>
          <w:p w14:paraId="7A943801" w14:textId="77777777" w:rsidR="002A310E" w:rsidRDefault="00B52E2F" w:rsidP="00382AE3">
            <w:r>
              <w:t xml:space="preserve">Mobiliteit </w:t>
            </w:r>
          </w:p>
        </w:tc>
        <w:tc>
          <w:tcPr>
            <w:tcW w:w="950" w:type="dxa"/>
            <w:tcBorders>
              <w:top w:val="single" w:sz="12" w:space="0" w:color="auto"/>
              <w:right w:val="single" w:sz="12" w:space="0" w:color="auto"/>
            </w:tcBorders>
            <w:shd w:val="clear" w:color="auto" w:fill="auto"/>
          </w:tcPr>
          <w:p w14:paraId="23357487" w14:textId="48A143D8" w:rsidR="002A310E" w:rsidRDefault="00C81911" w:rsidP="00C81911">
            <w:pPr>
              <w:jc w:val="center"/>
            </w:pPr>
            <w:r>
              <w:t>1</w:t>
            </w:r>
          </w:p>
        </w:tc>
      </w:tr>
      <w:tr w:rsidR="002A310E" w14:paraId="22A88ED6" w14:textId="77777777" w:rsidTr="0045767D">
        <w:tc>
          <w:tcPr>
            <w:tcW w:w="6747" w:type="dxa"/>
            <w:tcBorders>
              <w:left w:val="single" w:sz="12" w:space="0" w:color="auto"/>
            </w:tcBorders>
            <w:shd w:val="clear" w:color="auto" w:fill="auto"/>
          </w:tcPr>
          <w:p w14:paraId="039C6C3F" w14:textId="77777777" w:rsidR="002A310E" w:rsidRDefault="00B52E2F" w:rsidP="00B52E2F">
            <w:r>
              <w:t xml:space="preserve">Kwaliteit </w:t>
            </w:r>
          </w:p>
        </w:tc>
        <w:tc>
          <w:tcPr>
            <w:tcW w:w="950" w:type="dxa"/>
            <w:tcBorders>
              <w:right w:val="single" w:sz="12" w:space="0" w:color="auto"/>
            </w:tcBorders>
            <w:shd w:val="clear" w:color="auto" w:fill="auto"/>
          </w:tcPr>
          <w:p w14:paraId="22F16B27" w14:textId="130D09DA" w:rsidR="002A310E" w:rsidRDefault="007358B2" w:rsidP="005F1893">
            <w:pPr>
              <w:jc w:val="center"/>
            </w:pPr>
            <w:r>
              <w:t>3</w:t>
            </w:r>
          </w:p>
        </w:tc>
      </w:tr>
      <w:tr w:rsidR="002A310E" w14:paraId="71C28AC2" w14:textId="77777777" w:rsidTr="0045767D">
        <w:tc>
          <w:tcPr>
            <w:tcW w:w="6747" w:type="dxa"/>
            <w:tcBorders>
              <w:left w:val="single" w:sz="12" w:space="0" w:color="auto"/>
            </w:tcBorders>
            <w:shd w:val="clear" w:color="auto" w:fill="auto"/>
          </w:tcPr>
          <w:p w14:paraId="377C6F26" w14:textId="77777777" w:rsidR="002A310E" w:rsidRDefault="00B52E2F" w:rsidP="00382AE3">
            <w:r>
              <w:t>Diversiteit</w:t>
            </w:r>
          </w:p>
        </w:tc>
        <w:tc>
          <w:tcPr>
            <w:tcW w:w="950" w:type="dxa"/>
            <w:tcBorders>
              <w:right w:val="single" w:sz="12" w:space="0" w:color="auto"/>
            </w:tcBorders>
            <w:shd w:val="clear" w:color="auto" w:fill="auto"/>
          </w:tcPr>
          <w:p w14:paraId="3BC0E29E" w14:textId="407EFFD9" w:rsidR="002A310E" w:rsidRDefault="00970126" w:rsidP="00970126">
            <w:pPr>
              <w:jc w:val="center"/>
            </w:pPr>
            <w:r>
              <w:t>3</w:t>
            </w:r>
          </w:p>
        </w:tc>
      </w:tr>
      <w:tr w:rsidR="002A310E" w14:paraId="00D0CCB5" w14:textId="77777777" w:rsidTr="0045767D">
        <w:tc>
          <w:tcPr>
            <w:tcW w:w="6747" w:type="dxa"/>
            <w:tcBorders>
              <w:left w:val="single" w:sz="12" w:space="0" w:color="auto"/>
              <w:bottom w:val="single" w:sz="12" w:space="0" w:color="auto"/>
            </w:tcBorders>
            <w:shd w:val="clear" w:color="auto" w:fill="auto"/>
          </w:tcPr>
          <w:p w14:paraId="4F5219A1" w14:textId="77777777" w:rsidR="002A310E" w:rsidRDefault="00B52E2F" w:rsidP="00382AE3">
            <w:r>
              <w:t>Genderbalans</w:t>
            </w:r>
          </w:p>
        </w:tc>
        <w:tc>
          <w:tcPr>
            <w:tcW w:w="950" w:type="dxa"/>
            <w:tcBorders>
              <w:bottom w:val="single" w:sz="12" w:space="0" w:color="auto"/>
              <w:right w:val="single" w:sz="12" w:space="0" w:color="auto"/>
            </w:tcBorders>
            <w:shd w:val="clear" w:color="auto" w:fill="auto"/>
          </w:tcPr>
          <w:p w14:paraId="1BAE17B9" w14:textId="1C6FC5EC" w:rsidR="002A310E" w:rsidRDefault="00970126" w:rsidP="00970126">
            <w:pPr>
              <w:jc w:val="center"/>
            </w:pPr>
            <w:r>
              <w:t>3</w:t>
            </w:r>
          </w:p>
        </w:tc>
      </w:tr>
      <w:tr w:rsidR="002A310E" w:rsidRPr="00EA0AA8" w14:paraId="1C77E312" w14:textId="77777777" w:rsidTr="0045767D">
        <w:tc>
          <w:tcPr>
            <w:tcW w:w="6747" w:type="dxa"/>
            <w:tcBorders>
              <w:top w:val="single" w:sz="12" w:space="0" w:color="auto"/>
              <w:left w:val="single" w:sz="12" w:space="0" w:color="auto"/>
              <w:bottom w:val="single" w:sz="12" w:space="0" w:color="auto"/>
            </w:tcBorders>
            <w:shd w:val="clear" w:color="auto" w:fill="D0CECE"/>
          </w:tcPr>
          <w:p w14:paraId="6549ED94" w14:textId="77777777" w:rsidR="002A310E" w:rsidRPr="00EA0AA8" w:rsidRDefault="002A310E" w:rsidP="00382AE3">
            <w:pPr>
              <w:rPr>
                <w:b/>
              </w:rPr>
            </w:pPr>
            <w:r w:rsidRPr="00F313B0">
              <w:rPr>
                <w:b/>
              </w:rPr>
              <w:t>TOTAAL</w:t>
            </w:r>
          </w:p>
        </w:tc>
        <w:tc>
          <w:tcPr>
            <w:tcW w:w="950" w:type="dxa"/>
            <w:tcBorders>
              <w:top w:val="single" w:sz="12" w:space="0" w:color="auto"/>
              <w:bottom w:val="single" w:sz="12" w:space="0" w:color="auto"/>
              <w:right w:val="single" w:sz="12" w:space="0" w:color="auto"/>
            </w:tcBorders>
            <w:shd w:val="clear" w:color="auto" w:fill="D0CECE"/>
          </w:tcPr>
          <w:p w14:paraId="602C3EF3" w14:textId="5ABBAFE4" w:rsidR="002A310E" w:rsidRPr="00EA0AA8" w:rsidRDefault="00DF15EE" w:rsidP="00DF15EE">
            <w:pPr>
              <w:jc w:val="center"/>
              <w:rPr>
                <w:b/>
              </w:rPr>
            </w:pPr>
            <w:r>
              <w:rPr>
                <w:b/>
              </w:rPr>
              <w:t>3</w:t>
            </w:r>
          </w:p>
        </w:tc>
      </w:tr>
    </w:tbl>
    <w:p w14:paraId="3E4EE781" w14:textId="77777777" w:rsidR="002A310E" w:rsidRDefault="002A310E" w:rsidP="00326699"/>
    <w:p w14:paraId="4369F1B5" w14:textId="007C31BF" w:rsidR="00D32F98" w:rsidRDefault="00D32F98" w:rsidP="007B6DB3">
      <w:pPr>
        <w:ind w:firstLine="227"/>
        <w:rPr>
          <w:b/>
        </w:rPr>
      </w:pPr>
      <w:r w:rsidRPr="00193994">
        <w:t>Ver</w:t>
      </w:r>
      <w:r>
        <w:t>andering sinds 2015: positief</w:t>
      </w:r>
      <w:r w:rsidRPr="00193994">
        <w:t xml:space="preserve"> =</w:t>
      </w:r>
      <w:r w:rsidR="005869DA">
        <w:t xml:space="preserve"> </w:t>
      </w:r>
      <w:r w:rsidRPr="00193994">
        <w:sym w:font="Wingdings" w:char="F0E9"/>
      </w:r>
    </w:p>
    <w:p w14:paraId="526A8924" w14:textId="08B26970" w:rsidR="00E20A86" w:rsidRDefault="00E20A86" w:rsidP="00E20A86"/>
    <w:p w14:paraId="39988280" w14:textId="2CD6D89F" w:rsidR="00DE343C" w:rsidRPr="004D372F" w:rsidRDefault="00D07878" w:rsidP="004D372F">
      <w:pPr>
        <w:pStyle w:val="Heading2"/>
        <w:tabs>
          <w:tab w:val="left" w:pos="-1162"/>
          <w:tab w:val="left" w:pos="0"/>
          <w:tab w:val="num" w:pos="1160"/>
        </w:tabs>
        <w:spacing w:line="240" w:lineRule="auto"/>
        <w:ind w:hanging="1162"/>
      </w:pPr>
      <w:bookmarkStart w:id="36" w:name="_Toc491267900"/>
      <w:r>
        <w:t>4</w:t>
      </w:r>
      <w:r w:rsidR="00326699">
        <w:t>.</w:t>
      </w:r>
      <w:r w:rsidR="00A74DEC">
        <w:t>7</w:t>
      </w:r>
      <w:r w:rsidR="004D372F" w:rsidRPr="004D372F">
        <w:t xml:space="preserve"> </w:t>
      </w:r>
      <w:r w:rsidR="004D372F">
        <w:tab/>
      </w:r>
      <w:r w:rsidR="00DE343C" w:rsidRPr="004D372F">
        <w:t xml:space="preserve">Financiële </w:t>
      </w:r>
      <w:r w:rsidR="00DB7D94">
        <w:t>stabiliteit</w:t>
      </w:r>
      <w:bookmarkEnd w:id="36"/>
    </w:p>
    <w:p w14:paraId="05CFF357" w14:textId="5A83469A" w:rsidR="00D81C3C" w:rsidRDefault="00D07E5B" w:rsidP="005869DA">
      <w:r>
        <w:t xml:space="preserve">UNCTAD’s </w:t>
      </w:r>
      <w:r w:rsidR="008E3432">
        <w:t>reguliere</w:t>
      </w:r>
      <w:r>
        <w:t xml:space="preserve"> </w:t>
      </w:r>
      <w:r w:rsidR="008E3432">
        <w:t>budget</w:t>
      </w:r>
      <w:r>
        <w:t xml:space="preserve"> kom</w:t>
      </w:r>
      <w:r w:rsidR="008E3432">
        <w:t>t</w:t>
      </w:r>
      <w:r>
        <w:t xml:space="preserve"> uit het budget van het algemene VN-secretariaat</w:t>
      </w:r>
      <w:r w:rsidR="00FF520A">
        <w:t xml:space="preserve"> en ontvangen bijdragen komen overeen met de goedgekeurde begroting</w:t>
      </w:r>
      <w:r>
        <w:t xml:space="preserve">. </w:t>
      </w:r>
      <w:r w:rsidR="008500F3">
        <w:t>Wat betreft extra-budgettaire fondsen geeft h</w:t>
      </w:r>
      <w:r w:rsidR="00D81C3C" w:rsidRPr="0013050A">
        <w:t xml:space="preserve">et rapport van de </w:t>
      </w:r>
      <w:r w:rsidR="00D81C3C" w:rsidRPr="007B6DB3">
        <w:rPr>
          <w:i/>
        </w:rPr>
        <w:t>Joint Inspection Unit</w:t>
      </w:r>
      <w:r w:rsidR="00D81C3C" w:rsidRPr="0013050A">
        <w:t xml:space="preserve"> van 2012 aan dat een coherente fondswervingsstrategie ontbreekt, en dat er gebrek is aan ongeoormerkte vrijwillige bijdragen. </w:t>
      </w:r>
      <w:r w:rsidR="00D81C3C" w:rsidRPr="00C20227">
        <w:t xml:space="preserve">De JIU raadde UNCTAD aan om in overleg met de donoren een fondswervingsstrategie op te zetten met duidelijke doelen, meetbare resultaten, prioriteiten en verantwoordingslijnen. </w:t>
      </w:r>
      <w:r w:rsidR="00D52AF1">
        <w:t xml:space="preserve">Omdat lidstaten het onderling niet over deze strategie eens konden worden, wordt nu ingezet op een structureel ‘matchmakingsoverleg’, waarbij </w:t>
      </w:r>
      <w:r w:rsidR="00D52AF1" w:rsidRPr="00AD3EED">
        <w:t>donoren, ontwikkelingslanden en UNCTAD mogelijke ondersteuningsopties verkennen.</w:t>
      </w:r>
      <w:r w:rsidR="00E9195B" w:rsidRPr="00AD3EED">
        <w:t xml:space="preserve"> Dit heeft niet voorkomen dat het door Nederland </w:t>
      </w:r>
      <w:r w:rsidR="005869DA" w:rsidRPr="00AD3EED">
        <w:t>medegefinancierde</w:t>
      </w:r>
      <w:r w:rsidR="00E9195B" w:rsidRPr="00AD3EED">
        <w:t xml:space="preserve"> </w:t>
      </w:r>
      <w:r w:rsidR="005869DA" w:rsidRPr="00AD3EED">
        <w:t>DMFAS-programma</w:t>
      </w:r>
      <w:r w:rsidR="00E9195B" w:rsidRPr="00AD3EED">
        <w:t xml:space="preserve"> </w:t>
      </w:r>
      <w:r w:rsidR="004F5F8E" w:rsidRPr="00AD3EED">
        <w:t xml:space="preserve">met </w:t>
      </w:r>
      <w:r w:rsidR="00AD3EED">
        <w:t xml:space="preserve">ernstige </w:t>
      </w:r>
      <w:r w:rsidR="001D7265" w:rsidRPr="00AD3EED">
        <w:t xml:space="preserve">liquiditeitsproblemen </w:t>
      </w:r>
      <w:r w:rsidR="004F5F8E" w:rsidRPr="00AD3EED">
        <w:t>kampt</w:t>
      </w:r>
      <w:r w:rsidR="001D7265" w:rsidRPr="00AD3EED">
        <w:t xml:space="preserve"> door een tekort aan donorbijdragen</w:t>
      </w:r>
      <w:r w:rsidR="00E9195B" w:rsidRPr="00AD3EED">
        <w:t>.</w:t>
      </w:r>
      <w:r w:rsidR="001D7265" w:rsidRPr="00AD3EED">
        <w:t xml:space="preserve"> </w:t>
      </w:r>
    </w:p>
    <w:p w14:paraId="15B7128C" w14:textId="77777777" w:rsidR="00D81C3C" w:rsidRDefault="00D81C3C" w:rsidP="005869DA"/>
    <w:p w14:paraId="2B4F3258" w14:textId="2E1B7881" w:rsidR="00865144" w:rsidRDefault="007B6DB3" w:rsidP="005869DA">
      <w:r>
        <w:t>Het</w:t>
      </w:r>
      <w:r w:rsidR="00D81C3C" w:rsidRPr="003B75BC">
        <w:t xml:space="preserve"> </w:t>
      </w:r>
      <w:r w:rsidR="0014193E" w:rsidRPr="00071F58">
        <w:t>VN kantoor</w:t>
      </w:r>
      <w:r w:rsidR="00D81C3C" w:rsidRPr="003B75BC">
        <w:t xml:space="preserve"> in Genève (UNOG) voert de administratie voor UNCTAD, de </w:t>
      </w:r>
      <w:r w:rsidR="00D81C3C" w:rsidRPr="003B75BC">
        <w:rPr>
          <w:i/>
        </w:rPr>
        <w:t xml:space="preserve">UN Office of Internal Oversight </w:t>
      </w:r>
      <w:r w:rsidR="00D81C3C" w:rsidRPr="00071F58">
        <w:rPr>
          <w:i/>
        </w:rPr>
        <w:t xml:space="preserve">Services </w:t>
      </w:r>
      <w:r w:rsidR="00D81C3C" w:rsidRPr="00071F58">
        <w:t xml:space="preserve">(OIOS) houdt toezicht op de wijze waarop UNCTAD omgaat met financiële middelen. </w:t>
      </w:r>
      <w:r w:rsidR="00AD3EED">
        <w:t xml:space="preserve">Dit doet </w:t>
      </w:r>
      <w:r w:rsidR="00934CA9">
        <w:t>OIOS</w:t>
      </w:r>
      <w:r w:rsidR="00AD3EED">
        <w:t xml:space="preserve"> naar behoren. </w:t>
      </w:r>
      <w:r w:rsidR="00D81C3C" w:rsidRPr="00071F58">
        <w:t xml:space="preserve">OIOS voert hiertoe audits, inspecties, evaluaties en onderzoeken uit. </w:t>
      </w:r>
      <w:r w:rsidR="00516F81" w:rsidRPr="00071F58">
        <w:t xml:space="preserve">UNCTAD beschikt daarnaast niet over een eigen interne auditfunctie. </w:t>
      </w:r>
    </w:p>
    <w:p w14:paraId="184B1743" w14:textId="77777777" w:rsidR="00865144" w:rsidRDefault="00865144" w:rsidP="005869DA"/>
    <w:p w14:paraId="4803E6E2" w14:textId="39922B53" w:rsidR="002A310E" w:rsidRPr="00A97A10" w:rsidRDefault="00D81C3C" w:rsidP="005869DA">
      <w:r w:rsidRPr="003B75BC">
        <w:t xml:space="preserve">De externe audit wordt uitgevoerd door de Board of Auditors van de VN. </w:t>
      </w:r>
      <w:r w:rsidRPr="00C82352">
        <w:t>Het me</w:t>
      </w:r>
      <w:r w:rsidR="00046FF9" w:rsidRPr="00C82352">
        <w:t>est recente BoA rapport uit 2015</w:t>
      </w:r>
      <w:r w:rsidRPr="00C82352">
        <w:t xml:space="preserve"> toont dat de aanbevelingen aan UNCTAD (m.b.t. het versterken van procedures voor en rapportage over technische assistentie) zijn overgenomen en volledig geïmplementeerd.</w:t>
      </w:r>
      <w:r w:rsidR="00934CA9">
        <w:t xml:space="preserve"> Het DMFAS jaarrapport </w:t>
      </w:r>
      <w:r w:rsidR="00FA26AA">
        <w:t xml:space="preserve">legt een duidelijke link met </w:t>
      </w:r>
      <w:r w:rsidR="00934CA9">
        <w:t>het strategisch plan</w:t>
      </w:r>
      <w:r w:rsidR="00FA26AA">
        <w:t>,</w:t>
      </w:r>
      <w:r w:rsidR="00934CA9">
        <w:t xml:space="preserve"> maar concretiseert de behaalde resultaten onvoldoende en </w:t>
      </w:r>
      <w:r w:rsidR="00FA26AA">
        <w:t xml:space="preserve">mist vooralsnog </w:t>
      </w:r>
      <w:r w:rsidR="00934CA9">
        <w:t>scenario’s voor de penibele financiële situatie.</w:t>
      </w:r>
    </w:p>
    <w:p w14:paraId="77414F24" w14:textId="259D8DAF" w:rsidR="00127D70" w:rsidRDefault="00127D7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05621E4A" w14:textId="77777777" w:rsidTr="00127D70">
        <w:tc>
          <w:tcPr>
            <w:tcW w:w="6748" w:type="dxa"/>
            <w:tcBorders>
              <w:top w:val="single" w:sz="12" w:space="0" w:color="auto"/>
              <w:left w:val="single" w:sz="12" w:space="0" w:color="auto"/>
              <w:bottom w:val="single" w:sz="12" w:space="0" w:color="auto"/>
            </w:tcBorders>
            <w:shd w:val="clear" w:color="auto" w:fill="D0CECE"/>
          </w:tcPr>
          <w:p w14:paraId="58BD4471" w14:textId="77777777" w:rsidR="002A310E" w:rsidRPr="00EA0AA8" w:rsidRDefault="002A310E" w:rsidP="00382AE3">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6FF782CE" w14:textId="77777777" w:rsidR="002A310E" w:rsidRPr="00EA0AA8" w:rsidRDefault="002A310E" w:rsidP="00382AE3">
            <w:pPr>
              <w:rPr>
                <w:b/>
              </w:rPr>
            </w:pPr>
            <w:r w:rsidRPr="00EA0AA8">
              <w:rPr>
                <w:b/>
              </w:rPr>
              <w:t>Score</w:t>
            </w:r>
          </w:p>
        </w:tc>
      </w:tr>
      <w:tr w:rsidR="002A310E" w14:paraId="0509E0E2" w14:textId="77777777" w:rsidTr="00127D70">
        <w:tc>
          <w:tcPr>
            <w:tcW w:w="6748" w:type="dxa"/>
            <w:tcBorders>
              <w:top w:val="single" w:sz="12" w:space="0" w:color="auto"/>
              <w:left w:val="single" w:sz="12" w:space="0" w:color="auto"/>
            </w:tcBorders>
            <w:shd w:val="clear" w:color="auto" w:fill="auto"/>
          </w:tcPr>
          <w:p w14:paraId="20309D54" w14:textId="77777777" w:rsidR="002A310E" w:rsidRDefault="00927293" w:rsidP="00927293">
            <w:r>
              <w:t>Verhouding goedgekeurde begroting / ontvangen bijdragen</w:t>
            </w:r>
          </w:p>
        </w:tc>
        <w:tc>
          <w:tcPr>
            <w:tcW w:w="949" w:type="dxa"/>
            <w:tcBorders>
              <w:top w:val="single" w:sz="12" w:space="0" w:color="auto"/>
              <w:right w:val="single" w:sz="12" w:space="0" w:color="auto"/>
            </w:tcBorders>
            <w:shd w:val="clear" w:color="auto" w:fill="auto"/>
          </w:tcPr>
          <w:p w14:paraId="04106BF2" w14:textId="1A552A13" w:rsidR="002A310E" w:rsidRDefault="006B2F1F" w:rsidP="00382AE3">
            <w:r>
              <w:t>3</w:t>
            </w:r>
          </w:p>
        </w:tc>
      </w:tr>
      <w:tr w:rsidR="002A310E" w14:paraId="510467F1" w14:textId="77777777" w:rsidTr="00127D70">
        <w:tc>
          <w:tcPr>
            <w:tcW w:w="6748" w:type="dxa"/>
            <w:tcBorders>
              <w:left w:val="single" w:sz="12" w:space="0" w:color="auto"/>
            </w:tcBorders>
            <w:shd w:val="clear" w:color="auto" w:fill="auto"/>
          </w:tcPr>
          <w:p w14:paraId="6704F9E4" w14:textId="77777777" w:rsidR="002A310E" w:rsidRDefault="00927293" w:rsidP="00382AE3">
            <w:r>
              <w:t>Liquiditeitspositie en/of solvabiliteitspositie</w:t>
            </w:r>
          </w:p>
        </w:tc>
        <w:tc>
          <w:tcPr>
            <w:tcW w:w="949" w:type="dxa"/>
            <w:tcBorders>
              <w:right w:val="single" w:sz="12" w:space="0" w:color="auto"/>
            </w:tcBorders>
            <w:shd w:val="clear" w:color="auto" w:fill="auto"/>
          </w:tcPr>
          <w:p w14:paraId="44F39E15" w14:textId="11FA2983" w:rsidR="002A310E" w:rsidRDefault="00E9195B" w:rsidP="00382AE3">
            <w:r>
              <w:t>2</w:t>
            </w:r>
          </w:p>
        </w:tc>
      </w:tr>
      <w:tr w:rsidR="002A310E" w14:paraId="09474DA4" w14:textId="77777777" w:rsidTr="00127D70">
        <w:tc>
          <w:tcPr>
            <w:tcW w:w="6748" w:type="dxa"/>
            <w:tcBorders>
              <w:left w:val="single" w:sz="12" w:space="0" w:color="auto"/>
            </w:tcBorders>
            <w:shd w:val="clear" w:color="auto" w:fill="auto"/>
          </w:tcPr>
          <w:p w14:paraId="31145A00" w14:textId="77777777" w:rsidR="002A310E" w:rsidRDefault="00927293" w:rsidP="00382AE3">
            <w:r>
              <w:t>Interne auditfunctie</w:t>
            </w:r>
          </w:p>
        </w:tc>
        <w:tc>
          <w:tcPr>
            <w:tcW w:w="949" w:type="dxa"/>
            <w:tcBorders>
              <w:right w:val="single" w:sz="12" w:space="0" w:color="auto"/>
            </w:tcBorders>
            <w:shd w:val="clear" w:color="auto" w:fill="auto"/>
          </w:tcPr>
          <w:p w14:paraId="74CD767B" w14:textId="02C7886D" w:rsidR="002A310E" w:rsidRDefault="00E31C92" w:rsidP="00B43AA3">
            <w:r>
              <w:t>3</w:t>
            </w:r>
          </w:p>
        </w:tc>
      </w:tr>
      <w:tr w:rsidR="00927293" w14:paraId="4AFD9FF4" w14:textId="77777777" w:rsidTr="00127D70">
        <w:tc>
          <w:tcPr>
            <w:tcW w:w="6748" w:type="dxa"/>
            <w:tcBorders>
              <w:left w:val="single" w:sz="12" w:space="0" w:color="auto"/>
            </w:tcBorders>
            <w:shd w:val="clear" w:color="auto" w:fill="auto"/>
          </w:tcPr>
          <w:p w14:paraId="0F7A30EC" w14:textId="77777777" w:rsidR="00927293" w:rsidRDefault="00927293" w:rsidP="00382AE3">
            <w:r>
              <w:t>Kwaliteit rapportages</w:t>
            </w:r>
          </w:p>
        </w:tc>
        <w:tc>
          <w:tcPr>
            <w:tcW w:w="949" w:type="dxa"/>
            <w:tcBorders>
              <w:right w:val="single" w:sz="12" w:space="0" w:color="auto"/>
            </w:tcBorders>
            <w:shd w:val="clear" w:color="auto" w:fill="auto"/>
          </w:tcPr>
          <w:p w14:paraId="5DB384E1" w14:textId="54532AE3" w:rsidR="00927293" w:rsidRDefault="00FA26AA" w:rsidP="00382AE3">
            <w:r>
              <w:t>2</w:t>
            </w:r>
          </w:p>
        </w:tc>
      </w:tr>
      <w:tr w:rsidR="00927293" w14:paraId="6F66BEF0" w14:textId="77777777" w:rsidTr="00127D70">
        <w:tc>
          <w:tcPr>
            <w:tcW w:w="6748" w:type="dxa"/>
            <w:tcBorders>
              <w:left w:val="single" w:sz="12" w:space="0" w:color="auto"/>
            </w:tcBorders>
            <w:shd w:val="clear" w:color="auto" w:fill="auto"/>
          </w:tcPr>
          <w:p w14:paraId="7EEE22E9" w14:textId="77777777" w:rsidR="00927293" w:rsidRDefault="00927293" w:rsidP="00382AE3">
            <w:r>
              <w:t>Samenhang tussen inhoudelijke en financiële rapportages</w:t>
            </w:r>
          </w:p>
        </w:tc>
        <w:tc>
          <w:tcPr>
            <w:tcW w:w="949" w:type="dxa"/>
            <w:tcBorders>
              <w:right w:val="single" w:sz="12" w:space="0" w:color="auto"/>
            </w:tcBorders>
            <w:shd w:val="clear" w:color="auto" w:fill="auto"/>
          </w:tcPr>
          <w:p w14:paraId="10BE4B98" w14:textId="3143BFB1" w:rsidR="00927293" w:rsidRDefault="00FA26AA" w:rsidP="00382AE3">
            <w:r>
              <w:t>3</w:t>
            </w:r>
          </w:p>
        </w:tc>
      </w:tr>
      <w:tr w:rsidR="002A310E" w:rsidRPr="00EA0AA8" w14:paraId="10D5DA46" w14:textId="77777777" w:rsidTr="00127D70">
        <w:tc>
          <w:tcPr>
            <w:tcW w:w="6748" w:type="dxa"/>
            <w:tcBorders>
              <w:top w:val="single" w:sz="12" w:space="0" w:color="auto"/>
              <w:left w:val="single" w:sz="12" w:space="0" w:color="auto"/>
              <w:bottom w:val="single" w:sz="12" w:space="0" w:color="auto"/>
            </w:tcBorders>
            <w:shd w:val="clear" w:color="auto" w:fill="D0CECE"/>
          </w:tcPr>
          <w:p w14:paraId="53B7EA48"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51A3B7FA" w14:textId="3728E731" w:rsidR="002A310E" w:rsidRPr="00EA0AA8" w:rsidRDefault="00FA26AA" w:rsidP="00E9195B">
            <w:pPr>
              <w:rPr>
                <w:b/>
              </w:rPr>
            </w:pPr>
            <w:r>
              <w:rPr>
                <w:b/>
              </w:rPr>
              <w:t>3</w:t>
            </w:r>
          </w:p>
        </w:tc>
      </w:tr>
    </w:tbl>
    <w:p w14:paraId="77236AD8" w14:textId="77777777" w:rsidR="002A310E" w:rsidRDefault="002A310E" w:rsidP="00DE343C"/>
    <w:p w14:paraId="7CE25570" w14:textId="42312AE8" w:rsidR="00D32F98" w:rsidRDefault="00D32F98" w:rsidP="00071F58">
      <w:pPr>
        <w:ind w:firstLine="227"/>
        <w:rPr>
          <w:b/>
        </w:rPr>
      </w:pPr>
      <w:r w:rsidRPr="00193994">
        <w:t>Ver</w:t>
      </w:r>
      <w:r>
        <w:t xml:space="preserve">andering sinds 2015: </w:t>
      </w:r>
      <w:r w:rsidR="006E3417">
        <w:t>neutraal =</w:t>
      </w:r>
      <w:r w:rsidR="006E3417" w:rsidRPr="00193994">
        <w:t xml:space="preserve"> </w:t>
      </w:r>
      <w:r w:rsidR="006E3417" w:rsidRPr="00193994">
        <w:sym w:font="Wingdings" w:char="F0E8"/>
      </w:r>
    </w:p>
    <w:p w14:paraId="11F49FA1" w14:textId="77777777" w:rsidR="00927293" w:rsidRDefault="00927293" w:rsidP="00E20A86"/>
    <w:p w14:paraId="41CE599C" w14:textId="4ECA9EFE" w:rsidR="00382AE3" w:rsidRDefault="00D07878" w:rsidP="00382AE3">
      <w:pPr>
        <w:pStyle w:val="Heading2"/>
        <w:tabs>
          <w:tab w:val="left" w:pos="-1162"/>
          <w:tab w:val="left" w:pos="0"/>
          <w:tab w:val="num" w:pos="1160"/>
        </w:tabs>
        <w:spacing w:line="240" w:lineRule="auto"/>
        <w:ind w:hanging="1162"/>
      </w:pPr>
      <w:bookmarkStart w:id="37" w:name="_Toc491267901"/>
      <w:r>
        <w:t>4</w:t>
      </w:r>
      <w:r w:rsidR="00382AE3">
        <w:t>.8</w:t>
      </w:r>
      <w:r w:rsidR="00382AE3" w:rsidRPr="004D372F">
        <w:t xml:space="preserve"> </w:t>
      </w:r>
      <w:r w:rsidR="00382AE3">
        <w:tab/>
      </w:r>
      <w:r w:rsidR="00011D16">
        <w:t>Kostenreductie</w:t>
      </w:r>
      <w:bookmarkEnd w:id="37"/>
    </w:p>
    <w:p w14:paraId="5B2CD9BB" w14:textId="375EE986" w:rsidR="00CC7CCE" w:rsidRDefault="00CC7CCE" w:rsidP="0017443F">
      <w:r w:rsidRPr="00CC7CCE">
        <w:t>UN</w:t>
      </w:r>
      <w:r>
        <w:t>CTAD</w:t>
      </w:r>
      <w:r w:rsidRPr="00CC7CCE">
        <w:t xml:space="preserve"> volgt het algemene VN-beleid wat betreft salarissen en secundaire arbeidsvoorwaarden. Dit wordt in de vijfde commissie onderhandeld.</w:t>
      </w:r>
      <w:r w:rsidR="005B282C">
        <w:t xml:space="preserve"> Het JIU-rapport uit 2012 heeft daarnaast gekeken naar heeft efficiënt gebruik van middelen binnen de organisatie. Er werd onder anderen gesteld dat kennispersoneel relatief veel tijd aan niet-substantiële werkzaamheden kwijt wa</w:t>
      </w:r>
      <w:r w:rsidR="0014193E">
        <w:t>s</w:t>
      </w:r>
      <w:r w:rsidR="005B282C">
        <w:t xml:space="preserve">. Het UNCTAD management </w:t>
      </w:r>
      <w:r w:rsidR="005B282C">
        <w:lastRenderedPageBreak/>
        <w:t xml:space="preserve">heeft inmiddels aangegeven opvolging te hebben gegeven aan de aanbevelingen uit het JIU rapport. </w:t>
      </w:r>
      <w:r w:rsidR="00831711">
        <w:t>Er</w:t>
      </w:r>
      <w:r w:rsidR="00F623E4">
        <w:t xml:space="preserve"> is echter nog geen onafhankelijke</w:t>
      </w:r>
      <w:r w:rsidR="00831711">
        <w:t xml:space="preserve"> beoordeling geweest over of de aanbevelingen naar behoren zijn </w:t>
      </w:r>
      <w:r w:rsidR="001C376D">
        <w:t>uitgevoerd.</w:t>
      </w:r>
      <w:r w:rsidR="005869DA">
        <w:t xml:space="preserve"> </w:t>
      </w:r>
    </w:p>
    <w:p w14:paraId="17BD336B" w14:textId="0B614BDC" w:rsidR="001D7265" w:rsidRDefault="001D7265" w:rsidP="0017443F"/>
    <w:p w14:paraId="2EA7EE38" w14:textId="2EA506D9" w:rsidR="001D7265" w:rsidRPr="00CC7CCE" w:rsidRDefault="001D7265" w:rsidP="0017443F">
      <w:r w:rsidRPr="006E3417">
        <w:t xml:space="preserve">Het DMFAS programma kampt al enige tijd met financiële tekorten en probeert in dit kader de kosten te verminderen. </w:t>
      </w:r>
      <w:r w:rsidR="00DD0719" w:rsidRPr="006E3417">
        <w:t>DMFAS moet echter de kosteneffectiviteit op peil houden. Ook moet het</w:t>
      </w:r>
      <w:r w:rsidR="001F34A9" w:rsidRPr="006E3417">
        <w:t xml:space="preserve"> effici</w:t>
      </w:r>
      <w:r w:rsidR="00FA26AA" w:rsidRPr="006E3417">
        <w:t>ë</w:t>
      </w:r>
      <w:r w:rsidR="001F34A9" w:rsidRPr="006E3417">
        <w:t>ntieverlies door verminderde output en vertraging van de ontwikkeling van nieuwe schuldmanagementsoftware</w:t>
      </w:r>
      <w:r w:rsidR="00DD0719" w:rsidRPr="006E3417">
        <w:t xml:space="preserve"> voorkomen</w:t>
      </w:r>
      <w:r w:rsidR="001F34A9" w:rsidRPr="006E3417">
        <w:t>.</w:t>
      </w:r>
      <w:r w:rsidR="001F34A9">
        <w:t xml:space="preserve"> </w:t>
      </w:r>
    </w:p>
    <w:p w14:paraId="298387C7" w14:textId="77777777" w:rsidR="00382AE3" w:rsidRPr="00382AE3" w:rsidRDefault="00382AE3"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382AE3" w:rsidRPr="00EA0AA8" w14:paraId="4A124DAA" w14:textId="77777777" w:rsidTr="00B06CE6">
        <w:tc>
          <w:tcPr>
            <w:tcW w:w="6912" w:type="dxa"/>
            <w:tcBorders>
              <w:top w:val="single" w:sz="12" w:space="0" w:color="auto"/>
              <w:left w:val="single" w:sz="12" w:space="0" w:color="auto"/>
              <w:bottom w:val="single" w:sz="12" w:space="0" w:color="auto"/>
            </w:tcBorders>
            <w:shd w:val="clear" w:color="auto" w:fill="D0CECE"/>
          </w:tcPr>
          <w:p w14:paraId="35FCB662" w14:textId="77777777" w:rsidR="00382AE3" w:rsidRPr="00EA0AA8" w:rsidRDefault="00382AE3"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AEDA651" w14:textId="77777777" w:rsidR="00382AE3" w:rsidRPr="00EA0AA8" w:rsidRDefault="00382AE3" w:rsidP="00382AE3">
            <w:pPr>
              <w:rPr>
                <w:b/>
              </w:rPr>
            </w:pPr>
            <w:r w:rsidRPr="00EA0AA8">
              <w:rPr>
                <w:b/>
              </w:rPr>
              <w:t>Score</w:t>
            </w:r>
          </w:p>
        </w:tc>
      </w:tr>
      <w:tr w:rsidR="00382AE3" w14:paraId="35EBDA6B" w14:textId="77777777" w:rsidTr="00382AE3">
        <w:tc>
          <w:tcPr>
            <w:tcW w:w="6912" w:type="dxa"/>
            <w:tcBorders>
              <w:top w:val="single" w:sz="12" w:space="0" w:color="auto"/>
              <w:left w:val="single" w:sz="12" w:space="0" w:color="auto"/>
            </w:tcBorders>
            <w:shd w:val="clear" w:color="auto" w:fill="auto"/>
          </w:tcPr>
          <w:p w14:paraId="3B3A3D3D" w14:textId="77777777" w:rsidR="00382AE3" w:rsidRDefault="002568BC" w:rsidP="00382AE3">
            <w:r>
              <w:t>Verhouding programma-uitgaven/overhead</w:t>
            </w:r>
          </w:p>
        </w:tc>
        <w:tc>
          <w:tcPr>
            <w:tcW w:w="955" w:type="dxa"/>
            <w:tcBorders>
              <w:top w:val="single" w:sz="12" w:space="0" w:color="auto"/>
              <w:right w:val="single" w:sz="12" w:space="0" w:color="auto"/>
            </w:tcBorders>
            <w:shd w:val="clear" w:color="auto" w:fill="auto"/>
          </w:tcPr>
          <w:p w14:paraId="444C15C4" w14:textId="13A943A4" w:rsidR="00382AE3" w:rsidRDefault="008B2CA5" w:rsidP="00043355">
            <w:pPr>
              <w:jc w:val="center"/>
            </w:pPr>
            <w:r>
              <w:t>3</w:t>
            </w:r>
          </w:p>
        </w:tc>
      </w:tr>
      <w:tr w:rsidR="00382AE3" w14:paraId="71AFA6D3" w14:textId="77777777" w:rsidTr="00382AE3">
        <w:tc>
          <w:tcPr>
            <w:tcW w:w="6912" w:type="dxa"/>
            <w:tcBorders>
              <w:left w:val="single" w:sz="12" w:space="0" w:color="auto"/>
            </w:tcBorders>
            <w:shd w:val="clear" w:color="auto" w:fill="auto"/>
          </w:tcPr>
          <w:p w14:paraId="34270906" w14:textId="77777777" w:rsidR="00382AE3" w:rsidRDefault="002568BC" w:rsidP="00A21A93">
            <w:r>
              <w:t>Kosteneff</w:t>
            </w:r>
            <w:r w:rsidR="00A21A93">
              <w:t xml:space="preserve">ectiviteit </w:t>
            </w:r>
            <w:r>
              <w:t>programma’s</w:t>
            </w:r>
          </w:p>
        </w:tc>
        <w:tc>
          <w:tcPr>
            <w:tcW w:w="955" w:type="dxa"/>
            <w:tcBorders>
              <w:right w:val="single" w:sz="12" w:space="0" w:color="auto"/>
            </w:tcBorders>
            <w:shd w:val="clear" w:color="auto" w:fill="auto"/>
          </w:tcPr>
          <w:p w14:paraId="5891EFF6" w14:textId="730028D2" w:rsidR="00382AE3" w:rsidRDefault="00DD0719" w:rsidP="00043355">
            <w:pPr>
              <w:jc w:val="center"/>
            </w:pPr>
            <w:r>
              <w:t>2</w:t>
            </w:r>
          </w:p>
        </w:tc>
      </w:tr>
      <w:tr w:rsidR="00382AE3" w14:paraId="0423042C" w14:textId="77777777" w:rsidTr="00382AE3">
        <w:tc>
          <w:tcPr>
            <w:tcW w:w="6912" w:type="dxa"/>
            <w:tcBorders>
              <w:left w:val="single" w:sz="12" w:space="0" w:color="auto"/>
            </w:tcBorders>
            <w:shd w:val="clear" w:color="auto" w:fill="auto"/>
          </w:tcPr>
          <w:p w14:paraId="7A9FF385" w14:textId="77777777" w:rsidR="00382AE3" w:rsidRDefault="002568BC" w:rsidP="00382AE3">
            <w:r>
              <w:t>Versobering salarissen en secundaire arbeidsvoorwaarden</w:t>
            </w:r>
          </w:p>
        </w:tc>
        <w:tc>
          <w:tcPr>
            <w:tcW w:w="955" w:type="dxa"/>
            <w:tcBorders>
              <w:right w:val="single" w:sz="12" w:space="0" w:color="auto"/>
            </w:tcBorders>
            <w:shd w:val="clear" w:color="auto" w:fill="auto"/>
          </w:tcPr>
          <w:p w14:paraId="654E33B8" w14:textId="3A3D0E51" w:rsidR="00382AE3" w:rsidRDefault="00043355" w:rsidP="00043355">
            <w:pPr>
              <w:jc w:val="center"/>
            </w:pPr>
            <w:r>
              <w:t>3</w:t>
            </w:r>
          </w:p>
        </w:tc>
      </w:tr>
      <w:tr w:rsidR="00382AE3" w:rsidRPr="00EA0AA8" w14:paraId="1C0EA2A1" w14:textId="77777777" w:rsidTr="00B06CE6">
        <w:tc>
          <w:tcPr>
            <w:tcW w:w="6912" w:type="dxa"/>
            <w:tcBorders>
              <w:top w:val="single" w:sz="12" w:space="0" w:color="auto"/>
              <w:left w:val="single" w:sz="12" w:space="0" w:color="auto"/>
              <w:bottom w:val="single" w:sz="12" w:space="0" w:color="auto"/>
            </w:tcBorders>
            <w:shd w:val="clear" w:color="auto" w:fill="D0CECE"/>
          </w:tcPr>
          <w:p w14:paraId="4E63B5CB" w14:textId="77777777" w:rsidR="00382AE3" w:rsidRPr="00EA0AA8" w:rsidRDefault="00382AE3"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2421438" w14:textId="17572FDD" w:rsidR="00382AE3" w:rsidRPr="00EA0AA8" w:rsidRDefault="00127D70" w:rsidP="00FA26AA">
            <w:pPr>
              <w:jc w:val="center"/>
              <w:rPr>
                <w:b/>
              </w:rPr>
            </w:pPr>
            <w:r>
              <w:rPr>
                <w:b/>
              </w:rPr>
              <w:t>3</w:t>
            </w:r>
          </w:p>
        </w:tc>
      </w:tr>
    </w:tbl>
    <w:p w14:paraId="7881BEBF" w14:textId="77777777" w:rsidR="00382AE3" w:rsidRDefault="00382AE3" w:rsidP="00382AE3"/>
    <w:p w14:paraId="4CFB2677" w14:textId="61D9B278" w:rsidR="00D32F98" w:rsidRPr="006A670C" w:rsidRDefault="00D32F98" w:rsidP="00D32F98">
      <w:r w:rsidRPr="00193994">
        <w:t>Ver</w:t>
      </w:r>
      <w:r>
        <w:t>andering sinds 2015: neutraal</w:t>
      </w:r>
      <w:r w:rsidRPr="00193994">
        <w:t xml:space="preserve"> = </w:t>
      </w:r>
      <w:r w:rsidRPr="00193994">
        <w:sym w:font="Wingdings" w:char="F0E8"/>
      </w:r>
    </w:p>
    <w:p w14:paraId="59FF8696" w14:textId="77777777" w:rsidR="00382AE3" w:rsidRDefault="00382AE3" w:rsidP="00382AE3"/>
    <w:p w14:paraId="429286B4" w14:textId="135372EF" w:rsidR="00DE343C" w:rsidRPr="004D372F" w:rsidRDefault="00D07878" w:rsidP="004D372F">
      <w:pPr>
        <w:pStyle w:val="Heading2"/>
        <w:tabs>
          <w:tab w:val="left" w:pos="-1162"/>
          <w:tab w:val="left" w:pos="0"/>
          <w:tab w:val="num" w:pos="1160"/>
        </w:tabs>
        <w:spacing w:line="240" w:lineRule="auto"/>
        <w:ind w:hanging="1162"/>
      </w:pPr>
      <w:bookmarkStart w:id="38" w:name="_Toc491267902"/>
      <w:r>
        <w:t>4</w:t>
      </w:r>
      <w:r w:rsidR="000A22CF">
        <w:t>.</w:t>
      </w:r>
      <w:r w:rsidR="00382AE3">
        <w:t>9</w:t>
      </w:r>
      <w:r w:rsidR="004D372F" w:rsidRPr="004D372F">
        <w:t xml:space="preserve"> </w:t>
      </w:r>
      <w:r w:rsidR="004D372F">
        <w:tab/>
      </w:r>
      <w:r w:rsidR="00DE343C" w:rsidRPr="004D372F">
        <w:t>Corruptiebestrijding</w:t>
      </w:r>
      <w:bookmarkEnd w:id="38"/>
      <w:r w:rsidR="000F53BE">
        <w:t xml:space="preserve"> </w:t>
      </w:r>
    </w:p>
    <w:p w14:paraId="4DB607A8" w14:textId="6CAFCFEC" w:rsidR="00DE343C" w:rsidRPr="00FE4BF1" w:rsidRDefault="00517FD4" w:rsidP="005869DA">
      <w:r w:rsidRPr="00C87AFF">
        <w:t>Als onderdeel van het VN-secretariaat valt UNCTAD ook onder alle algemene anti-fraude, anti-corruptie en klokkenluidersregelingen van de VN. Het UNCTAD-personeel valt onder de “</w:t>
      </w:r>
      <w:r w:rsidRPr="00F85675">
        <w:rPr>
          <w:i/>
        </w:rPr>
        <w:t>Code of Conduct</w:t>
      </w:r>
      <w:r w:rsidRPr="00C87AFF">
        <w:t xml:space="preserve">” van de VN en het VN </w:t>
      </w:r>
      <w:r w:rsidRPr="003B75BC">
        <w:rPr>
          <w:i/>
        </w:rPr>
        <w:t>Ethics Office</w:t>
      </w:r>
      <w:r w:rsidRPr="00C87AFF">
        <w:t xml:space="preserve"> is verantwoordelijk voor UNCTAD, zodat UNCTAD en haar medewerkers zich moeten conformeren aan de integriteitsregels van het VN-handvest.</w:t>
      </w:r>
      <w:r w:rsidR="00EF0B1A">
        <w:t xml:space="preserve"> De verschillende anti-corruptie en fraude regels waren geconsolideerd in het </w:t>
      </w:r>
      <w:r w:rsidR="00EF0B1A">
        <w:rPr>
          <w:i/>
        </w:rPr>
        <w:t xml:space="preserve">Anti-Corruption Framework of the </w:t>
      </w:r>
      <w:r w:rsidR="00EF0B1A" w:rsidRPr="001E16F8">
        <w:rPr>
          <w:i/>
        </w:rPr>
        <w:t>United Nations Secretariat</w:t>
      </w:r>
      <w:r w:rsidR="00EF0B1A" w:rsidRPr="001E16F8">
        <w:t xml:space="preserve"> die in september 2016 is uitgebracht. Secretaris-Generaal VN b</w:t>
      </w:r>
      <w:r w:rsidR="00FE4BF1" w:rsidRPr="001E16F8">
        <w:t>racht in januari 2017 een nieuw</w:t>
      </w:r>
      <w:r w:rsidR="00EF0B1A" w:rsidRPr="001E16F8">
        <w:t xml:space="preserve"> klokkenluiderbeschermingsbeleid uit. </w:t>
      </w:r>
      <w:r w:rsidR="0089341F" w:rsidRPr="001E16F8">
        <w:t>Het meest recent beschikbare JIU rapport</w:t>
      </w:r>
      <w:r w:rsidR="001E16F8" w:rsidRPr="001E16F8">
        <w:t xml:space="preserve"> uit 2016</w:t>
      </w:r>
      <w:r w:rsidR="0089341F" w:rsidRPr="001E16F8">
        <w:t xml:space="preserve"> constateert dat gedurende de vijf voorafgaande jaren </w:t>
      </w:r>
      <w:r w:rsidR="00837795" w:rsidRPr="001E16F8">
        <w:t xml:space="preserve">er geen gevallen van fraude </w:t>
      </w:r>
      <w:r w:rsidR="0089341F" w:rsidRPr="001E16F8">
        <w:t xml:space="preserve">waren </w:t>
      </w:r>
      <w:r w:rsidR="00837795" w:rsidRPr="001E16F8">
        <w:t>geconstateerd</w:t>
      </w:r>
      <w:r w:rsidR="00B43AA3">
        <w:t>.</w:t>
      </w:r>
    </w:p>
    <w:p w14:paraId="5B509C82" w14:textId="77777777" w:rsidR="000A22CF" w:rsidRDefault="000A22CF" w:rsidP="000A22CF"/>
    <w:p w14:paraId="78A1DC7D" w14:textId="67AA7D74" w:rsidR="00114409" w:rsidRDefault="001144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13D7C9C0" w14:textId="77777777" w:rsidTr="00114409">
        <w:tc>
          <w:tcPr>
            <w:tcW w:w="6748" w:type="dxa"/>
            <w:tcBorders>
              <w:top w:val="single" w:sz="12" w:space="0" w:color="auto"/>
              <w:left w:val="single" w:sz="12" w:space="0" w:color="auto"/>
              <w:bottom w:val="single" w:sz="12" w:space="0" w:color="auto"/>
            </w:tcBorders>
            <w:shd w:val="clear" w:color="auto" w:fill="D0CECE"/>
          </w:tcPr>
          <w:p w14:paraId="3E911752" w14:textId="47573BE7" w:rsidR="002A310E" w:rsidRPr="00EA0AA8" w:rsidRDefault="002A310E" w:rsidP="00382AE3">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5F387470" w14:textId="77777777" w:rsidR="002A310E" w:rsidRPr="00EA0AA8" w:rsidRDefault="002A310E" w:rsidP="00382AE3">
            <w:pPr>
              <w:rPr>
                <w:b/>
              </w:rPr>
            </w:pPr>
            <w:r w:rsidRPr="00EA0AA8">
              <w:rPr>
                <w:b/>
              </w:rPr>
              <w:t>Score</w:t>
            </w:r>
          </w:p>
        </w:tc>
      </w:tr>
      <w:tr w:rsidR="002A310E" w14:paraId="4F940CF5" w14:textId="77777777" w:rsidTr="00114409">
        <w:tc>
          <w:tcPr>
            <w:tcW w:w="6748" w:type="dxa"/>
            <w:tcBorders>
              <w:top w:val="single" w:sz="12" w:space="0" w:color="auto"/>
              <w:left w:val="single" w:sz="12" w:space="0" w:color="auto"/>
            </w:tcBorders>
            <w:shd w:val="clear" w:color="auto" w:fill="auto"/>
          </w:tcPr>
          <w:p w14:paraId="58639527" w14:textId="77777777" w:rsidR="002A310E" w:rsidRDefault="000F53BE" w:rsidP="00382AE3">
            <w:r>
              <w:t>Maatregelen rechtmatigheidsrisico’s</w:t>
            </w:r>
          </w:p>
        </w:tc>
        <w:tc>
          <w:tcPr>
            <w:tcW w:w="949" w:type="dxa"/>
            <w:tcBorders>
              <w:top w:val="single" w:sz="12" w:space="0" w:color="auto"/>
              <w:right w:val="single" w:sz="12" w:space="0" w:color="auto"/>
            </w:tcBorders>
            <w:shd w:val="clear" w:color="auto" w:fill="auto"/>
          </w:tcPr>
          <w:p w14:paraId="7F5DE12A" w14:textId="167438DE" w:rsidR="002A310E" w:rsidRDefault="002744F6" w:rsidP="002744F6">
            <w:pPr>
              <w:jc w:val="center"/>
            </w:pPr>
            <w:r>
              <w:t>3</w:t>
            </w:r>
          </w:p>
        </w:tc>
      </w:tr>
      <w:tr w:rsidR="002A310E" w14:paraId="4018CC1D" w14:textId="77777777" w:rsidTr="00114409">
        <w:tc>
          <w:tcPr>
            <w:tcW w:w="6748" w:type="dxa"/>
            <w:tcBorders>
              <w:left w:val="single" w:sz="12" w:space="0" w:color="auto"/>
            </w:tcBorders>
            <w:shd w:val="clear" w:color="auto" w:fill="auto"/>
          </w:tcPr>
          <w:p w14:paraId="7DC1E0DA" w14:textId="77777777" w:rsidR="002A310E" w:rsidRDefault="000F53BE" w:rsidP="00382AE3">
            <w:r>
              <w:t>Maatregelen doelmatigheidsrisico’s</w:t>
            </w:r>
          </w:p>
        </w:tc>
        <w:tc>
          <w:tcPr>
            <w:tcW w:w="949" w:type="dxa"/>
            <w:tcBorders>
              <w:right w:val="single" w:sz="12" w:space="0" w:color="auto"/>
            </w:tcBorders>
            <w:shd w:val="clear" w:color="auto" w:fill="auto"/>
          </w:tcPr>
          <w:p w14:paraId="11DC00D6" w14:textId="3BB05A1A" w:rsidR="002A310E" w:rsidRDefault="002744F6" w:rsidP="002744F6">
            <w:pPr>
              <w:jc w:val="center"/>
            </w:pPr>
            <w:r>
              <w:t>3</w:t>
            </w:r>
          </w:p>
        </w:tc>
      </w:tr>
      <w:tr w:rsidR="002A310E" w14:paraId="4D51A859" w14:textId="77777777" w:rsidTr="00114409">
        <w:tc>
          <w:tcPr>
            <w:tcW w:w="6748" w:type="dxa"/>
            <w:tcBorders>
              <w:left w:val="single" w:sz="12" w:space="0" w:color="auto"/>
            </w:tcBorders>
            <w:shd w:val="clear" w:color="auto" w:fill="auto"/>
          </w:tcPr>
          <w:p w14:paraId="125B3B1F" w14:textId="77777777" w:rsidR="002A310E" w:rsidRDefault="000F53BE" w:rsidP="000F53BE">
            <w:r>
              <w:t xml:space="preserve">Anti-corruptiebeleid </w:t>
            </w:r>
          </w:p>
        </w:tc>
        <w:tc>
          <w:tcPr>
            <w:tcW w:w="949" w:type="dxa"/>
            <w:tcBorders>
              <w:right w:val="single" w:sz="12" w:space="0" w:color="auto"/>
            </w:tcBorders>
            <w:shd w:val="clear" w:color="auto" w:fill="auto"/>
          </w:tcPr>
          <w:p w14:paraId="50F7CBC8" w14:textId="1A02DE2B" w:rsidR="002A310E" w:rsidRDefault="002744F6" w:rsidP="002744F6">
            <w:pPr>
              <w:jc w:val="center"/>
            </w:pPr>
            <w:r>
              <w:t>3</w:t>
            </w:r>
          </w:p>
        </w:tc>
      </w:tr>
      <w:tr w:rsidR="000F53BE" w14:paraId="6008D8EC" w14:textId="77777777" w:rsidTr="00114409">
        <w:tc>
          <w:tcPr>
            <w:tcW w:w="6748" w:type="dxa"/>
            <w:tcBorders>
              <w:left w:val="single" w:sz="12" w:space="0" w:color="auto"/>
            </w:tcBorders>
            <w:shd w:val="clear" w:color="auto" w:fill="auto"/>
          </w:tcPr>
          <w:p w14:paraId="50B43F5D" w14:textId="77777777" w:rsidR="000F53BE" w:rsidRDefault="000F53BE" w:rsidP="00382AE3">
            <w:r>
              <w:t>Transparantie integriteitsschendingen</w:t>
            </w:r>
          </w:p>
        </w:tc>
        <w:tc>
          <w:tcPr>
            <w:tcW w:w="949" w:type="dxa"/>
            <w:tcBorders>
              <w:right w:val="single" w:sz="12" w:space="0" w:color="auto"/>
            </w:tcBorders>
            <w:shd w:val="clear" w:color="auto" w:fill="auto"/>
          </w:tcPr>
          <w:p w14:paraId="2DEFB53E" w14:textId="613A50FA" w:rsidR="000F53BE" w:rsidRDefault="002744F6" w:rsidP="002744F6">
            <w:pPr>
              <w:jc w:val="center"/>
            </w:pPr>
            <w:r>
              <w:t>3</w:t>
            </w:r>
          </w:p>
        </w:tc>
      </w:tr>
      <w:tr w:rsidR="002A310E" w:rsidRPr="00EA0AA8" w14:paraId="6DB55CC1" w14:textId="77777777" w:rsidTr="00114409">
        <w:tc>
          <w:tcPr>
            <w:tcW w:w="6748" w:type="dxa"/>
            <w:tcBorders>
              <w:top w:val="single" w:sz="12" w:space="0" w:color="auto"/>
              <w:left w:val="single" w:sz="12" w:space="0" w:color="auto"/>
              <w:bottom w:val="single" w:sz="12" w:space="0" w:color="auto"/>
            </w:tcBorders>
            <w:shd w:val="clear" w:color="auto" w:fill="D0CECE"/>
          </w:tcPr>
          <w:p w14:paraId="4E76C7ED" w14:textId="77777777" w:rsidR="002A310E" w:rsidRPr="00EA0AA8" w:rsidRDefault="002A310E" w:rsidP="00382AE3">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3DE0A20B" w14:textId="50B16EE4" w:rsidR="002A310E" w:rsidRPr="00EA0AA8" w:rsidRDefault="002744F6" w:rsidP="002744F6">
            <w:pPr>
              <w:jc w:val="center"/>
              <w:rPr>
                <w:b/>
              </w:rPr>
            </w:pPr>
            <w:r>
              <w:rPr>
                <w:b/>
              </w:rPr>
              <w:t>3</w:t>
            </w:r>
          </w:p>
        </w:tc>
      </w:tr>
    </w:tbl>
    <w:p w14:paraId="61B4535E" w14:textId="77777777" w:rsidR="0031751C" w:rsidRDefault="0031751C" w:rsidP="00E20A86"/>
    <w:p w14:paraId="3CEC448F" w14:textId="17EBEC02" w:rsidR="00D32F98" w:rsidRPr="006A670C" w:rsidRDefault="00D32F98" w:rsidP="00D32F98">
      <w:r w:rsidRPr="00193994">
        <w:t>Ver</w:t>
      </w:r>
      <w:r>
        <w:t>andering sinds 2015: neutraal</w:t>
      </w:r>
      <w:r w:rsidRPr="00193994">
        <w:t xml:space="preserve"> = </w:t>
      </w:r>
      <w:r w:rsidRPr="00193994">
        <w:sym w:font="Wingdings" w:char="F0E8"/>
      </w:r>
    </w:p>
    <w:p w14:paraId="4F0EF9B1" w14:textId="77777777" w:rsidR="00E20A86" w:rsidRDefault="00E20A86" w:rsidP="00E20A86"/>
    <w:p w14:paraId="367ECB8A" w14:textId="5A080054" w:rsidR="009534EF" w:rsidRDefault="00D07878" w:rsidP="004D372F">
      <w:pPr>
        <w:pStyle w:val="Heading1"/>
        <w:tabs>
          <w:tab w:val="num" w:pos="0"/>
        </w:tabs>
        <w:spacing w:after="240" w:line="240" w:lineRule="auto"/>
        <w:ind w:hanging="1162"/>
      </w:pPr>
      <w:bookmarkStart w:id="39" w:name="_Toc348364679"/>
      <w:bookmarkStart w:id="40" w:name="_Toc491267903"/>
      <w:r>
        <w:lastRenderedPageBreak/>
        <w:t>5</w:t>
      </w:r>
      <w:r w:rsidR="004D372F">
        <w:t xml:space="preserve"> </w:t>
      </w:r>
      <w:r w:rsidR="004D372F">
        <w:tab/>
      </w:r>
      <w:r w:rsidR="008409AE">
        <w:t>R</w:t>
      </w:r>
      <w:r w:rsidR="009534EF">
        <w:t>elevantie van de organisatie</w:t>
      </w:r>
      <w:bookmarkEnd w:id="39"/>
      <w:bookmarkEnd w:id="40"/>
    </w:p>
    <w:p w14:paraId="47869648" w14:textId="117B488C" w:rsidR="003D5452" w:rsidRDefault="00127D70" w:rsidP="003D5452">
      <w:r w:rsidRPr="00D90F29">
        <w:t xml:space="preserve">Dit hoofdstuk behandelt de relevantie van de organisatie voor de Nederlandse BHOS-prioriteiten. Hierbij wordt een driedeling gemaakt: een organisatie is relevant voor een BHOS-thema als </w:t>
      </w:r>
      <w:r>
        <w:t xml:space="preserve">die organisatie </w:t>
      </w:r>
      <w:r w:rsidRPr="00D90F29">
        <w:t>van direct belang is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w:t>
      </w:r>
      <w:r>
        <w:t>t</w:t>
      </w:r>
      <w:r w:rsidRPr="00D90F29">
        <w:t xml:space="preserve"> vervolgens gescoord op uitvoerende, normerende of coördinerende activiteiten op dat thema.</w:t>
      </w:r>
    </w:p>
    <w:p w14:paraId="6512D912" w14:textId="77777777" w:rsidR="0031751C" w:rsidRDefault="0031751C" w:rsidP="001210BF"/>
    <w:p w14:paraId="1F1E7264" w14:textId="28C0A38D" w:rsidR="0027051F" w:rsidRPr="004D372F" w:rsidRDefault="00D07878" w:rsidP="0008255C">
      <w:pPr>
        <w:pStyle w:val="Heading2"/>
        <w:tabs>
          <w:tab w:val="left" w:pos="-1162"/>
          <w:tab w:val="left" w:pos="0"/>
        </w:tabs>
        <w:spacing w:line="240" w:lineRule="auto"/>
        <w:ind w:hanging="1134"/>
      </w:pPr>
      <w:bookmarkStart w:id="41" w:name="_Toc491267904"/>
      <w:r>
        <w:t>5</w:t>
      </w:r>
      <w:r w:rsidR="0027051F">
        <w:t xml:space="preserve">.1 </w:t>
      </w:r>
      <w:r w:rsidR="0008255C">
        <w:tab/>
      </w:r>
      <w:r w:rsidR="0027051F">
        <w:t>Relevantie voor Nederlandse BHOS-prioriteiten</w:t>
      </w:r>
      <w:bookmarkEnd w:id="41"/>
    </w:p>
    <w:p w14:paraId="51BB715F" w14:textId="6A96BE35" w:rsidR="008B720C" w:rsidRDefault="008B720C" w:rsidP="00BC1254">
      <w:r w:rsidRPr="00127D70">
        <w:rPr>
          <w:u w:val="single"/>
        </w:rPr>
        <w:t xml:space="preserve">Private </w:t>
      </w:r>
      <w:r w:rsidR="00011D16" w:rsidRPr="00127D70">
        <w:rPr>
          <w:u w:val="single"/>
        </w:rPr>
        <w:t>s</w:t>
      </w:r>
      <w:r w:rsidRPr="00127D70">
        <w:rPr>
          <w:u w:val="single"/>
        </w:rPr>
        <w:t xml:space="preserve">ector </w:t>
      </w:r>
      <w:r w:rsidR="00011D16" w:rsidRPr="00127D70">
        <w:rPr>
          <w:u w:val="single"/>
        </w:rPr>
        <w:t>ontwikkeling</w:t>
      </w:r>
      <w:r w:rsidR="00011D16" w:rsidRPr="00715AA3">
        <w:t xml:space="preserve"> </w:t>
      </w:r>
    </w:p>
    <w:p w14:paraId="2DFC1B9B" w14:textId="2BCEF1C3" w:rsidR="008D512C" w:rsidRDefault="008D512C" w:rsidP="00127D70">
      <w:r w:rsidRPr="00127D70">
        <w:rPr>
          <w:i/>
        </w:rPr>
        <w:t>Relevant</w:t>
      </w:r>
      <w:r w:rsidRPr="00246DF5">
        <w:t>. Minst ontwikkelde landen ontvangen c</w:t>
      </w:r>
      <w:r>
        <w:t xml:space="preserve">oncrete beleidsaanbevelingen op </w:t>
      </w:r>
      <w:r w:rsidRPr="00246DF5">
        <w:t>basis van gericht onderzoek naar economische ontwikkelingsvraagstukken. De Investeringsdivisie levert technische assistentie aan landen ter bevordering van duurzame investeringen en economische ontwikkeling. UNCTAD hecht veel waarde aan samenwerking met het maatschappelijk middenveld en de private sector in ontwikkelingslanden, wat voor ontwikkelingslanden essentieel is om te kunnen integreren in de internationale economie.</w:t>
      </w:r>
      <w:r w:rsidR="00364B79">
        <w:t xml:space="preserve"> Ook richt het zich met </w:t>
      </w:r>
      <w:r w:rsidR="008B2CA5">
        <w:t xml:space="preserve">bijvoorbeeld </w:t>
      </w:r>
      <w:r w:rsidR="00364B79">
        <w:t xml:space="preserve">e-commerce-beleidsadvies en vaardigheidstrainingen </w:t>
      </w:r>
      <w:r w:rsidR="00A165E1">
        <w:t xml:space="preserve">specifiek </w:t>
      </w:r>
      <w:r w:rsidR="00364B79">
        <w:t xml:space="preserve">op de ontwikkeling van het </w:t>
      </w:r>
      <w:r w:rsidR="001469B5">
        <w:t>MKB</w:t>
      </w:r>
      <w:r w:rsidR="00364B79">
        <w:t xml:space="preserve"> in ontwikkelingslanden. </w:t>
      </w:r>
    </w:p>
    <w:p w14:paraId="02C786E9" w14:textId="77777777" w:rsidR="008D512C" w:rsidRDefault="008D512C" w:rsidP="008D512C">
      <w:pPr>
        <w:ind w:left="360"/>
      </w:pPr>
    </w:p>
    <w:p w14:paraId="39AD2FD8" w14:textId="140CFFE7" w:rsidR="008D512C" w:rsidRDefault="008D512C" w:rsidP="00127D70">
      <w:r w:rsidRPr="00246DF5">
        <w:t>Nederland heeft de afgelopen jaren de financiële bijdrage aan UNCTAD gereduceerd. Dat neemt niet weg dat belangrijke samenwerkingsprojecten in uitvoering werden genomen op belangrijke onderwerpen als voorlichting over oorsprongsregels, douane en studies op het snijvlak van hulp en handel</w:t>
      </w:r>
      <w:r w:rsidR="001E16F8">
        <w:t xml:space="preserve"> om de exportmogelijkheden voor </w:t>
      </w:r>
      <w:r w:rsidR="00A165E1">
        <w:t xml:space="preserve">de private sector in </w:t>
      </w:r>
      <w:r w:rsidR="001E16F8">
        <w:t>ontwikkelingslanden te ondersteunen</w:t>
      </w:r>
      <w:r w:rsidRPr="00246DF5">
        <w:t>.</w:t>
      </w:r>
    </w:p>
    <w:p w14:paraId="3033417F" w14:textId="11BF4E3B" w:rsidR="001469B5" w:rsidRDefault="001469B5" w:rsidP="008D512C">
      <w:pPr>
        <w:ind w:left="360"/>
      </w:pPr>
    </w:p>
    <w:p w14:paraId="74DA2771" w14:textId="77777777" w:rsidR="001469B5" w:rsidRPr="00127D70" w:rsidRDefault="001469B5" w:rsidP="001469B5">
      <w:pPr>
        <w:rPr>
          <w:u w:val="single"/>
        </w:rPr>
      </w:pPr>
      <w:r w:rsidRPr="00127D70">
        <w:rPr>
          <w:u w:val="single"/>
        </w:rPr>
        <w:t>Gendergelijkheid</w:t>
      </w:r>
    </w:p>
    <w:p w14:paraId="169B2907" w14:textId="01D685D6" w:rsidR="00D83137" w:rsidRDefault="001469B5" w:rsidP="00730D14">
      <w:r w:rsidRPr="00127D70">
        <w:rPr>
          <w:i/>
        </w:rPr>
        <w:t>Relevant.</w:t>
      </w:r>
      <w:r>
        <w:t xml:space="preserve"> In de publicaties van UNCTAD is gender een dwarsdoorsnijdend thema. De relatie tussen genderongelijkheid en handel staat steeds meer op de voorgrond in internationale debatten. UNCTAD doet onderzoek naar de positie van vrouwen in relatie tot handelsliberalisatie en formuleert op basis daarvan beleidsaanbevelingen voor gendergelijkheid. Promotie van vrouwen is een belangrijk onderdeel van de activiteiten, bijv. in </w:t>
      </w:r>
      <w:r w:rsidRPr="00331272">
        <w:rPr>
          <w:i/>
        </w:rPr>
        <w:t>Empretec</w:t>
      </w:r>
      <w:r w:rsidR="00DA2ABC">
        <w:t xml:space="preserve">; </w:t>
      </w:r>
      <w:r>
        <w:t xml:space="preserve">een programma ter bevordering van MKB. </w:t>
      </w:r>
      <w:r>
        <w:tab/>
      </w:r>
    </w:p>
    <w:p w14:paraId="5981AF35" w14:textId="77777777" w:rsidR="00EA615D" w:rsidRDefault="00EA615D" w:rsidP="002C45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06"/>
        <w:gridCol w:w="1929"/>
        <w:gridCol w:w="1896"/>
      </w:tblGrid>
      <w:tr w:rsidR="00127D70" w14:paraId="5E4AF846" w14:textId="77777777" w:rsidTr="00127D70">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0970FEF" w14:textId="659A3E96" w:rsidR="00127D70" w:rsidRPr="00792AB2" w:rsidRDefault="00127D70" w:rsidP="00127D70">
            <w:pPr>
              <w:rPr>
                <w:b/>
              </w:rPr>
            </w:pPr>
            <w:r>
              <w:rPr>
                <w:b/>
              </w:rPr>
              <w:t>Relevantie voor de Nederlandse BHOS-prioriteiten</w:t>
            </w:r>
          </w:p>
        </w:tc>
      </w:tr>
      <w:tr w:rsidR="008B720C" w14:paraId="6373ACDA" w14:textId="77777777" w:rsidTr="00127D70">
        <w:tc>
          <w:tcPr>
            <w:tcW w:w="1966" w:type="dxa"/>
            <w:tcBorders>
              <w:top w:val="single" w:sz="12" w:space="0" w:color="auto"/>
              <w:left w:val="single" w:sz="12" w:space="0" w:color="auto"/>
              <w:bottom w:val="single" w:sz="12" w:space="0" w:color="auto"/>
            </w:tcBorders>
            <w:shd w:val="clear" w:color="auto" w:fill="BFBFBF" w:themeFill="background1" w:themeFillShade="BF"/>
          </w:tcPr>
          <w:p w14:paraId="7D2374F6" w14:textId="77777777" w:rsidR="008B720C" w:rsidRPr="00792AB2" w:rsidRDefault="008B720C" w:rsidP="002C45B0">
            <w:pPr>
              <w:rPr>
                <w:b/>
                <w:i/>
              </w:rPr>
            </w:pPr>
          </w:p>
        </w:tc>
        <w:tc>
          <w:tcPr>
            <w:tcW w:w="1906" w:type="dxa"/>
            <w:tcBorders>
              <w:top w:val="single" w:sz="12" w:space="0" w:color="auto"/>
              <w:bottom w:val="single" w:sz="12" w:space="0" w:color="auto"/>
            </w:tcBorders>
            <w:shd w:val="clear" w:color="auto" w:fill="BFBFBF" w:themeFill="background1" w:themeFillShade="BF"/>
          </w:tcPr>
          <w:p w14:paraId="544AF1E9" w14:textId="77777777" w:rsidR="00674C14" w:rsidRPr="00792AB2" w:rsidRDefault="008B720C" w:rsidP="002C45B0">
            <w:pPr>
              <w:rPr>
                <w:b/>
              </w:rPr>
            </w:pPr>
            <w:r w:rsidRPr="00792AB2">
              <w:rPr>
                <w:b/>
              </w:rPr>
              <w:t>Uitvoerend</w:t>
            </w:r>
          </w:p>
        </w:tc>
        <w:tc>
          <w:tcPr>
            <w:tcW w:w="1929" w:type="dxa"/>
            <w:tcBorders>
              <w:top w:val="single" w:sz="12" w:space="0" w:color="auto"/>
              <w:bottom w:val="single" w:sz="12" w:space="0" w:color="auto"/>
            </w:tcBorders>
            <w:shd w:val="clear" w:color="auto" w:fill="BFBFBF" w:themeFill="background1" w:themeFillShade="BF"/>
          </w:tcPr>
          <w:p w14:paraId="5A2F4AE3" w14:textId="77777777" w:rsidR="008B720C" w:rsidRPr="00792AB2" w:rsidRDefault="008B720C" w:rsidP="002C45B0">
            <w:pPr>
              <w:rPr>
                <w:b/>
              </w:rPr>
            </w:pPr>
            <w:r w:rsidRPr="00792AB2">
              <w:rPr>
                <w:b/>
              </w:rPr>
              <w:t>Coördinerend</w:t>
            </w:r>
          </w:p>
        </w:tc>
        <w:tc>
          <w:tcPr>
            <w:tcW w:w="1896" w:type="dxa"/>
            <w:tcBorders>
              <w:top w:val="single" w:sz="12" w:space="0" w:color="auto"/>
              <w:bottom w:val="single" w:sz="12" w:space="0" w:color="auto"/>
              <w:right w:val="single" w:sz="12" w:space="0" w:color="auto"/>
            </w:tcBorders>
            <w:shd w:val="clear" w:color="auto" w:fill="BFBFBF" w:themeFill="background1" w:themeFillShade="BF"/>
          </w:tcPr>
          <w:p w14:paraId="6358DF19" w14:textId="77777777" w:rsidR="008B720C" w:rsidRPr="00792AB2" w:rsidRDefault="008B720C" w:rsidP="002C45B0">
            <w:pPr>
              <w:rPr>
                <w:b/>
              </w:rPr>
            </w:pPr>
            <w:r w:rsidRPr="00792AB2">
              <w:rPr>
                <w:b/>
              </w:rPr>
              <w:t>Normatief</w:t>
            </w:r>
          </w:p>
        </w:tc>
      </w:tr>
      <w:tr w:rsidR="008B720C" w14:paraId="3AEC265E" w14:textId="77777777" w:rsidTr="00127D70">
        <w:tc>
          <w:tcPr>
            <w:tcW w:w="1966" w:type="dxa"/>
            <w:tcBorders>
              <w:top w:val="single" w:sz="12" w:space="0" w:color="auto"/>
              <w:left w:val="single" w:sz="12" w:space="0" w:color="auto"/>
            </w:tcBorders>
            <w:shd w:val="clear" w:color="auto" w:fill="auto"/>
          </w:tcPr>
          <w:p w14:paraId="010FAB5E" w14:textId="158F1DDD" w:rsidR="008B720C" w:rsidRDefault="008B720C" w:rsidP="00011D16">
            <w:r>
              <w:t xml:space="preserve">Private sector </w:t>
            </w:r>
            <w:r w:rsidR="00011D16">
              <w:t>ontwikkeling</w:t>
            </w:r>
          </w:p>
        </w:tc>
        <w:tc>
          <w:tcPr>
            <w:tcW w:w="1906" w:type="dxa"/>
            <w:tcBorders>
              <w:top w:val="single" w:sz="12" w:space="0" w:color="auto"/>
            </w:tcBorders>
            <w:shd w:val="clear" w:color="auto" w:fill="auto"/>
          </w:tcPr>
          <w:p w14:paraId="512DE3FA" w14:textId="21136B3A" w:rsidR="008B720C" w:rsidRDefault="005376BB" w:rsidP="002C45B0">
            <w:r>
              <w:t>3</w:t>
            </w:r>
          </w:p>
        </w:tc>
        <w:tc>
          <w:tcPr>
            <w:tcW w:w="1929" w:type="dxa"/>
            <w:tcBorders>
              <w:top w:val="single" w:sz="12" w:space="0" w:color="auto"/>
            </w:tcBorders>
            <w:shd w:val="clear" w:color="auto" w:fill="auto"/>
          </w:tcPr>
          <w:p w14:paraId="688FDBD0" w14:textId="77777777" w:rsidR="008B720C" w:rsidRDefault="008B720C" w:rsidP="002C45B0"/>
        </w:tc>
        <w:tc>
          <w:tcPr>
            <w:tcW w:w="1896" w:type="dxa"/>
            <w:tcBorders>
              <w:top w:val="single" w:sz="12" w:space="0" w:color="auto"/>
              <w:right w:val="single" w:sz="12" w:space="0" w:color="auto"/>
            </w:tcBorders>
            <w:shd w:val="clear" w:color="auto" w:fill="auto"/>
          </w:tcPr>
          <w:p w14:paraId="71F0B8BD" w14:textId="1BF85757" w:rsidR="008B720C" w:rsidRDefault="00D359B1" w:rsidP="002C45B0">
            <w:r>
              <w:t>3</w:t>
            </w:r>
          </w:p>
        </w:tc>
      </w:tr>
      <w:tr w:rsidR="001469B5" w14:paraId="70096DF7" w14:textId="77777777" w:rsidTr="00127D70">
        <w:tc>
          <w:tcPr>
            <w:tcW w:w="1966" w:type="dxa"/>
            <w:tcBorders>
              <w:left w:val="single" w:sz="12" w:space="0" w:color="auto"/>
              <w:bottom w:val="single" w:sz="12" w:space="0" w:color="auto"/>
            </w:tcBorders>
            <w:shd w:val="clear" w:color="auto" w:fill="auto"/>
          </w:tcPr>
          <w:p w14:paraId="4C5F77EE" w14:textId="4E0BDA66" w:rsidR="00127D70" w:rsidRDefault="005376BB" w:rsidP="002C45B0">
            <w:r>
              <w:t>Gendergelijkheid</w:t>
            </w:r>
          </w:p>
        </w:tc>
        <w:tc>
          <w:tcPr>
            <w:tcW w:w="1906" w:type="dxa"/>
            <w:tcBorders>
              <w:bottom w:val="single" w:sz="12" w:space="0" w:color="auto"/>
            </w:tcBorders>
            <w:shd w:val="clear" w:color="auto" w:fill="auto"/>
          </w:tcPr>
          <w:p w14:paraId="0588C466" w14:textId="469D82BE" w:rsidR="001469B5" w:rsidRDefault="001469B5" w:rsidP="002C45B0"/>
        </w:tc>
        <w:tc>
          <w:tcPr>
            <w:tcW w:w="1929" w:type="dxa"/>
            <w:tcBorders>
              <w:bottom w:val="single" w:sz="12" w:space="0" w:color="auto"/>
            </w:tcBorders>
            <w:shd w:val="clear" w:color="auto" w:fill="auto"/>
          </w:tcPr>
          <w:p w14:paraId="6AE335D9" w14:textId="77777777" w:rsidR="001469B5" w:rsidRDefault="001469B5" w:rsidP="002C45B0"/>
        </w:tc>
        <w:tc>
          <w:tcPr>
            <w:tcW w:w="1896" w:type="dxa"/>
            <w:tcBorders>
              <w:bottom w:val="single" w:sz="12" w:space="0" w:color="auto"/>
              <w:right w:val="single" w:sz="12" w:space="0" w:color="auto"/>
            </w:tcBorders>
            <w:shd w:val="clear" w:color="auto" w:fill="auto"/>
          </w:tcPr>
          <w:p w14:paraId="2995B9E6" w14:textId="7199CCC3" w:rsidR="001469B5" w:rsidRDefault="00F8725D" w:rsidP="002C45B0">
            <w:r>
              <w:t>3</w:t>
            </w:r>
          </w:p>
        </w:tc>
      </w:tr>
    </w:tbl>
    <w:p w14:paraId="050FC9BC" w14:textId="77777777" w:rsidR="00772734" w:rsidRDefault="00772734" w:rsidP="002C45B0"/>
    <w:p w14:paraId="2E53E3DD" w14:textId="73F66A52" w:rsidR="008624F0" w:rsidRDefault="00127D70" w:rsidP="008624F0">
      <w:pPr>
        <w:pStyle w:val="Heading2"/>
        <w:tabs>
          <w:tab w:val="left" w:pos="-1162"/>
          <w:tab w:val="left" w:pos="0"/>
          <w:tab w:val="num" w:pos="1160"/>
        </w:tabs>
        <w:spacing w:line="240" w:lineRule="auto"/>
        <w:ind w:hanging="1162"/>
      </w:pPr>
      <w:bookmarkStart w:id="42" w:name="_Toc410140912"/>
      <w:bookmarkStart w:id="43" w:name="_Toc491267905"/>
      <w:r>
        <w:t>5</w:t>
      </w:r>
      <w:r w:rsidR="003331DA">
        <w:t>.</w:t>
      </w:r>
      <w:r w:rsidR="00195B13">
        <w:t>2</w:t>
      </w:r>
      <w:r w:rsidR="008624F0">
        <w:tab/>
        <w:t>Overige relevantie</w:t>
      </w:r>
      <w:bookmarkEnd w:id="42"/>
      <w:bookmarkEnd w:id="43"/>
      <w:r w:rsidR="0057402A">
        <w:t xml:space="preserve"> </w:t>
      </w:r>
    </w:p>
    <w:p w14:paraId="254B32E3" w14:textId="6B4A8E11" w:rsidR="008F50BD" w:rsidRDefault="008F50BD" w:rsidP="001E16F8">
      <w:pPr>
        <w:spacing w:line="276" w:lineRule="auto"/>
      </w:pPr>
      <w:r>
        <w:t>Het werkterrein van UNCTAD</w:t>
      </w:r>
      <w:r w:rsidR="00CF6858">
        <w:t xml:space="preserve"> is</w:t>
      </w:r>
      <w:r>
        <w:t xml:space="preserve"> relevant voor de Nederlandse hulp, handel en investeringsagenda. </w:t>
      </w:r>
      <w:r w:rsidR="00B269E3">
        <w:t xml:space="preserve">UNCTAD levert </w:t>
      </w:r>
      <w:r w:rsidR="001469B5">
        <w:t>technische assistentie op het ge</w:t>
      </w:r>
      <w:r w:rsidR="00B269E3">
        <w:t>bied van (overheids-)schulden aan</w:t>
      </w:r>
      <w:r w:rsidR="001469B5">
        <w:t xml:space="preserve"> lage en middeninkomenslanden. </w:t>
      </w:r>
      <w:r w:rsidR="00B269E3">
        <w:t>Daarnaast draagt het</w:t>
      </w:r>
      <w:r w:rsidR="001469B5">
        <w:t xml:space="preserve"> als kennisinstituut bij aan het harmoniseren van nationaal en internationaal beleid op het terrein van handel, investeringen en ontwikkeling. </w:t>
      </w:r>
      <w:r w:rsidR="00B269E3">
        <w:t>UNCTAD</w:t>
      </w:r>
      <w:r w:rsidR="001469B5">
        <w:t xml:space="preserve"> </w:t>
      </w:r>
      <w:r w:rsidR="00D911B6">
        <w:t xml:space="preserve">heeft in het verleden ingeboet op haar autonome functie als denktank op het snijvlak van handel en </w:t>
      </w:r>
      <w:r w:rsidR="00D911B6">
        <w:lastRenderedPageBreak/>
        <w:t xml:space="preserve">ontwikkeling binnen de VN. Het heeft de afgelopen jaren echter kansen weten te benutten </w:t>
      </w:r>
      <w:r w:rsidR="00A165E1">
        <w:t xml:space="preserve">om vooruitgang te boeken </w:t>
      </w:r>
      <w:r w:rsidR="00D911B6">
        <w:t>op onderzoek naar, en dialoog over e-commerce</w:t>
      </w:r>
      <w:r w:rsidR="00A165E1">
        <w:t>, vanwege</w:t>
      </w:r>
      <w:r w:rsidR="00D911B6">
        <w:t xml:space="preserve"> de hoge mate van polarisatie over dit onderwerp binnen de WTO. </w:t>
      </w:r>
    </w:p>
    <w:p w14:paraId="7C07A02D" w14:textId="77777777" w:rsidR="008F50BD" w:rsidRDefault="008F50BD" w:rsidP="001E16F8">
      <w:pPr>
        <w:spacing w:line="276" w:lineRule="auto"/>
      </w:pPr>
    </w:p>
    <w:p w14:paraId="56981915" w14:textId="15230871" w:rsidR="00193EEB" w:rsidRDefault="00AA1F72" w:rsidP="001E16F8">
      <w:pPr>
        <w:spacing w:line="276" w:lineRule="auto"/>
      </w:pPr>
      <w:r>
        <w:t xml:space="preserve">UNCTAD is voor Nederland een belangrijke speler op het gebied van kennis over investeringsakkoorden. </w:t>
      </w:r>
      <w:r w:rsidR="00193EEB">
        <w:t xml:space="preserve">De organisatie produceert kennis, data en praktische instrumenten ter versterking van het investeringsbeleid, met name gericht op ontwikkelings- en transitielanden. UNCTAD geniet een mate van legitimiteit onder lage- en middeninkomenslanden die andere organisaties, zoals de OESO, niet altijd hebben. </w:t>
      </w:r>
    </w:p>
    <w:p w14:paraId="4548F306" w14:textId="77777777" w:rsidR="00193EEB" w:rsidRDefault="00193EEB" w:rsidP="001E16F8">
      <w:pPr>
        <w:spacing w:line="276" w:lineRule="auto"/>
      </w:pPr>
    </w:p>
    <w:p w14:paraId="1EEC286F" w14:textId="6C6B538B" w:rsidR="00F95011" w:rsidRDefault="00AA1F72" w:rsidP="001E16F8">
      <w:pPr>
        <w:spacing w:line="276" w:lineRule="auto"/>
      </w:pPr>
      <w:r w:rsidRPr="00582E3C">
        <w:t xml:space="preserve">Betrokken </w:t>
      </w:r>
      <w:r w:rsidR="00A165E1" w:rsidRPr="00582E3C">
        <w:t xml:space="preserve">Nederlandse </w:t>
      </w:r>
      <w:r w:rsidRPr="00582E3C">
        <w:t>ministeries raadplegen</w:t>
      </w:r>
      <w:r>
        <w:t xml:space="preserve"> regelmatig de UNCTAD website en het jaarlijkse World Investment Report voor handels- en investeringsdata</w:t>
      </w:r>
      <w:r w:rsidR="00F95011">
        <w:t xml:space="preserve">, informatie over investeringsakkoorden en de investeringsgeschillenbeslechting. Ook wordt het </w:t>
      </w:r>
      <w:r w:rsidR="00F95011" w:rsidRPr="00CF6858">
        <w:rPr>
          <w:i/>
        </w:rPr>
        <w:t>Investment Policy Framework for Sustainable Development</w:t>
      </w:r>
      <w:r w:rsidR="00F95011">
        <w:t xml:space="preserve"> veelvuldig gebruikt om handels- en investeringsakkoorden te moderniseren. </w:t>
      </w:r>
      <w:r w:rsidR="00F95011" w:rsidRPr="00133FF5">
        <w:t>Nederland hervormt zijn model investeringsbeschermingsovereenkomst (IBO) met als doel om alle 90 IBOs te heronderhandelen, en heeft in dat kader goede contacten lopen met UNCTAD.</w:t>
      </w:r>
      <w:r w:rsidR="00F95011">
        <w:t xml:space="preserve"> </w:t>
      </w:r>
    </w:p>
    <w:p w14:paraId="6B0DA01E" w14:textId="77777777" w:rsidR="00300D9E" w:rsidRDefault="00300D9E" w:rsidP="00D94D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1918"/>
        <w:gridCol w:w="1938"/>
        <w:gridCol w:w="1910"/>
      </w:tblGrid>
      <w:tr w:rsidR="00127D70" w14:paraId="2F400543" w14:textId="77777777" w:rsidTr="00127D70">
        <w:tc>
          <w:tcPr>
            <w:tcW w:w="7697" w:type="dxa"/>
            <w:gridSpan w:val="4"/>
            <w:tcBorders>
              <w:top w:val="single" w:sz="12" w:space="0" w:color="auto"/>
              <w:left w:val="single" w:sz="12" w:space="0" w:color="auto"/>
              <w:bottom w:val="single" w:sz="12" w:space="0" w:color="auto"/>
              <w:right w:val="single" w:sz="12" w:space="0" w:color="auto"/>
            </w:tcBorders>
            <w:shd w:val="clear" w:color="auto" w:fill="D0CECE"/>
          </w:tcPr>
          <w:p w14:paraId="40484306" w14:textId="6996A444" w:rsidR="00127D70" w:rsidRPr="00B06CE6" w:rsidRDefault="00127D70" w:rsidP="00127D70">
            <w:pPr>
              <w:rPr>
                <w:b/>
              </w:rPr>
            </w:pPr>
            <w:r>
              <w:rPr>
                <w:b/>
              </w:rPr>
              <w:t>Overige relevantie</w:t>
            </w:r>
          </w:p>
        </w:tc>
      </w:tr>
      <w:tr w:rsidR="00587797" w14:paraId="6CB4416C" w14:textId="77777777" w:rsidTr="00127D70">
        <w:tc>
          <w:tcPr>
            <w:tcW w:w="1931" w:type="dxa"/>
            <w:tcBorders>
              <w:top w:val="single" w:sz="12" w:space="0" w:color="auto"/>
              <w:left w:val="single" w:sz="12" w:space="0" w:color="auto"/>
              <w:bottom w:val="single" w:sz="12" w:space="0" w:color="auto"/>
            </w:tcBorders>
            <w:shd w:val="clear" w:color="auto" w:fill="D0CECE"/>
          </w:tcPr>
          <w:p w14:paraId="04C48EEC" w14:textId="695FDC6D" w:rsidR="00587797" w:rsidRPr="00B06CE6" w:rsidRDefault="00587797" w:rsidP="00755248">
            <w:pPr>
              <w:rPr>
                <w:i/>
              </w:rPr>
            </w:pPr>
          </w:p>
        </w:tc>
        <w:tc>
          <w:tcPr>
            <w:tcW w:w="1918" w:type="dxa"/>
            <w:tcBorders>
              <w:top w:val="single" w:sz="12" w:space="0" w:color="auto"/>
              <w:bottom w:val="single" w:sz="12" w:space="0" w:color="auto"/>
            </w:tcBorders>
            <w:shd w:val="clear" w:color="auto" w:fill="D0CECE"/>
          </w:tcPr>
          <w:p w14:paraId="03AB9621" w14:textId="77777777" w:rsidR="00587797" w:rsidRPr="00B06CE6" w:rsidRDefault="00587797" w:rsidP="00D67F8F">
            <w:pPr>
              <w:rPr>
                <w:b/>
              </w:rPr>
            </w:pPr>
            <w:r w:rsidRPr="00B06CE6">
              <w:rPr>
                <w:b/>
              </w:rPr>
              <w:t>Uitvoerend</w:t>
            </w:r>
          </w:p>
        </w:tc>
        <w:tc>
          <w:tcPr>
            <w:tcW w:w="1938" w:type="dxa"/>
            <w:tcBorders>
              <w:top w:val="single" w:sz="12" w:space="0" w:color="auto"/>
              <w:bottom w:val="single" w:sz="12" w:space="0" w:color="auto"/>
            </w:tcBorders>
            <w:shd w:val="clear" w:color="auto" w:fill="D0CECE"/>
          </w:tcPr>
          <w:p w14:paraId="68AB31C6" w14:textId="77777777" w:rsidR="00587797" w:rsidRPr="00B06CE6" w:rsidRDefault="00587797" w:rsidP="00D67F8F">
            <w:pPr>
              <w:rPr>
                <w:b/>
              </w:rPr>
            </w:pPr>
            <w:r w:rsidRPr="00B06CE6">
              <w:rPr>
                <w:b/>
              </w:rPr>
              <w:t>Coördinerend</w:t>
            </w:r>
          </w:p>
        </w:tc>
        <w:tc>
          <w:tcPr>
            <w:tcW w:w="1910" w:type="dxa"/>
            <w:tcBorders>
              <w:top w:val="single" w:sz="12" w:space="0" w:color="auto"/>
              <w:bottom w:val="single" w:sz="12" w:space="0" w:color="auto"/>
              <w:right w:val="single" w:sz="12" w:space="0" w:color="auto"/>
            </w:tcBorders>
            <w:shd w:val="clear" w:color="auto" w:fill="D0CECE"/>
          </w:tcPr>
          <w:p w14:paraId="0AA16534" w14:textId="77777777" w:rsidR="00587797" w:rsidRPr="00B06CE6" w:rsidRDefault="00587797" w:rsidP="00D67F8F">
            <w:pPr>
              <w:rPr>
                <w:b/>
              </w:rPr>
            </w:pPr>
            <w:r w:rsidRPr="00B06CE6">
              <w:rPr>
                <w:b/>
              </w:rPr>
              <w:t>Normatief</w:t>
            </w:r>
          </w:p>
        </w:tc>
      </w:tr>
      <w:tr w:rsidR="00D911B6" w14:paraId="64A5469E" w14:textId="77777777" w:rsidTr="00127D70">
        <w:tc>
          <w:tcPr>
            <w:tcW w:w="1931" w:type="dxa"/>
            <w:tcBorders>
              <w:top w:val="single" w:sz="12" w:space="0" w:color="auto"/>
              <w:left w:val="single" w:sz="12" w:space="0" w:color="auto"/>
            </w:tcBorders>
            <w:shd w:val="clear" w:color="auto" w:fill="auto"/>
          </w:tcPr>
          <w:p w14:paraId="65130D6D" w14:textId="2977E587" w:rsidR="006029DC" w:rsidRDefault="005376BB" w:rsidP="00D911B6">
            <w:r>
              <w:t>Schuldenbeheer</w:t>
            </w:r>
          </w:p>
        </w:tc>
        <w:tc>
          <w:tcPr>
            <w:tcW w:w="1918" w:type="dxa"/>
            <w:tcBorders>
              <w:top w:val="single" w:sz="12" w:space="0" w:color="auto"/>
            </w:tcBorders>
            <w:shd w:val="clear" w:color="auto" w:fill="auto"/>
          </w:tcPr>
          <w:p w14:paraId="26F6EEA8" w14:textId="0F6075D8" w:rsidR="00D911B6" w:rsidRDefault="00D911B6" w:rsidP="00D67F8F">
            <w:r>
              <w:t>3</w:t>
            </w:r>
          </w:p>
        </w:tc>
        <w:tc>
          <w:tcPr>
            <w:tcW w:w="1938" w:type="dxa"/>
            <w:tcBorders>
              <w:top w:val="single" w:sz="12" w:space="0" w:color="auto"/>
            </w:tcBorders>
            <w:shd w:val="clear" w:color="auto" w:fill="auto"/>
          </w:tcPr>
          <w:p w14:paraId="6A2E779F" w14:textId="77777777" w:rsidR="00D911B6" w:rsidRDefault="00D911B6" w:rsidP="00D67F8F"/>
        </w:tc>
        <w:tc>
          <w:tcPr>
            <w:tcW w:w="1910" w:type="dxa"/>
            <w:tcBorders>
              <w:top w:val="single" w:sz="12" w:space="0" w:color="auto"/>
              <w:right w:val="single" w:sz="12" w:space="0" w:color="auto"/>
            </w:tcBorders>
            <w:shd w:val="clear" w:color="auto" w:fill="auto"/>
          </w:tcPr>
          <w:p w14:paraId="13B011BD" w14:textId="77777777" w:rsidR="00D911B6" w:rsidRDefault="00D911B6" w:rsidP="00D67F8F"/>
        </w:tc>
      </w:tr>
      <w:tr w:rsidR="00D911B6" w14:paraId="736A08E2" w14:textId="77777777" w:rsidTr="00114409">
        <w:tc>
          <w:tcPr>
            <w:tcW w:w="1931" w:type="dxa"/>
            <w:tcBorders>
              <w:left w:val="single" w:sz="12" w:space="0" w:color="auto"/>
              <w:bottom w:val="single" w:sz="12" w:space="0" w:color="auto"/>
            </w:tcBorders>
            <w:shd w:val="clear" w:color="auto" w:fill="auto"/>
          </w:tcPr>
          <w:p w14:paraId="7B994FB7" w14:textId="4ED1F161" w:rsidR="00D911B6" w:rsidRDefault="00071F58" w:rsidP="00071F58">
            <w:r>
              <w:t>I</w:t>
            </w:r>
            <w:r w:rsidR="009F54C2">
              <w:t>nvestering</w:t>
            </w:r>
            <w:r w:rsidR="005376BB">
              <w:t>sbeleid</w:t>
            </w:r>
            <w:bookmarkStart w:id="44" w:name="_GoBack"/>
            <w:bookmarkEnd w:id="44"/>
          </w:p>
        </w:tc>
        <w:tc>
          <w:tcPr>
            <w:tcW w:w="1918" w:type="dxa"/>
            <w:tcBorders>
              <w:bottom w:val="single" w:sz="12" w:space="0" w:color="auto"/>
            </w:tcBorders>
            <w:shd w:val="clear" w:color="auto" w:fill="auto"/>
          </w:tcPr>
          <w:p w14:paraId="4394247A" w14:textId="77777777" w:rsidR="00D911B6" w:rsidRDefault="00D911B6" w:rsidP="00D67F8F"/>
        </w:tc>
        <w:tc>
          <w:tcPr>
            <w:tcW w:w="1938" w:type="dxa"/>
            <w:tcBorders>
              <w:bottom w:val="single" w:sz="12" w:space="0" w:color="auto"/>
            </w:tcBorders>
            <w:shd w:val="clear" w:color="auto" w:fill="auto"/>
          </w:tcPr>
          <w:p w14:paraId="2548460C" w14:textId="77777777" w:rsidR="00D911B6" w:rsidRDefault="00D911B6" w:rsidP="00D67F8F"/>
        </w:tc>
        <w:tc>
          <w:tcPr>
            <w:tcW w:w="1910" w:type="dxa"/>
            <w:tcBorders>
              <w:bottom w:val="single" w:sz="12" w:space="0" w:color="auto"/>
              <w:right w:val="single" w:sz="12" w:space="0" w:color="auto"/>
            </w:tcBorders>
            <w:shd w:val="clear" w:color="auto" w:fill="auto"/>
          </w:tcPr>
          <w:p w14:paraId="60B3F926" w14:textId="37CCCDE8" w:rsidR="00D911B6" w:rsidRDefault="009F54C2" w:rsidP="00D67F8F">
            <w:r>
              <w:t>4</w:t>
            </w:r>
          </w:p>
        </w:tc>
      </w:tr>
    </w:tbl>
    <w:p w14:paraId="7E0BF39A" w14:textId="77777777" w:rsidR="00587797" w:rsidRDefault="00587797" w:rsidP="00D67F8F"/>
    <w:p w14:paraId="66ACCC9E" w14:textId="77777777" w:rsidR="00F50554" w:rsidRDefault="00F50554" w:rsidP="00D94DB4"/>
    <w:sectPr w:rsidR="00F50554" w:rsidSect="00EE1B9E">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DBD1B" w14:textId="77777777" w:rsidR="007B7BB5" w:rsidRDefault="007B7BB5">
      <w:r>
        <w:separator/>
      </w:r>
    </w:p>
    <w:p w14:paraId="11DC65AA" w14:textId="77777777" w:rsidR="007B7BB5" w:rsidRDefault="007B7BB5"/>
    <w:p w14:paraId="4F34EEB8" w14:textId="77777777" w:rsidR="007B7BB5" w:rsidRDefault="007B7BB5"/>
  </w:endnote>
  <w:endnote w:type="continuationSeparator" w:id="0">
    <w:p w14:paraId="4DB055EE" w14:textId="77777777" w:rsidR="007B7BB5" w:rsidRDefault="007B7BB5">
      <w:r>
        <w:continuationSeparator/>
      </w:r>
    </w:p>
    <w:p w14:paraId="00DD5F63" w14:textId="77777777" w:rsidR="007B7BB5" w:rsidRDefault="007B7BB5"/>
    <w:p w14:paraId="47A0F6DC" w14:textId="77777777" w:rsidR="007B7BB5" w:rsidRDefault="007B7BB5"/>
  </w:endnote>
  <w:endnote w:type="continuationNotice" w:id="1">
    <w:p w14:paraId="678EA98C" w14:textId="77777777" w:rsidR="007B7BB5" w:rsidRDefault="007B7B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elveticaNeueLTStd-BdC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22375394"/>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246FD556" w14:textId="645D5489" w:rsidR="007B7BB5" w:rsidRPr="007B7BB5" w:rsidRDefault="007B7BB5">
            <w:pPr>
              <w:pStyle w:val="Footer"/>
              <w:jc w:val="right"/>
              <w:rPr>
                <w:sz w:val="16"/>
                <w:szCs w:val="16"/>
              </w:rPr>
            </w:pPr>
            <w:r w:rsidRPr="007B7BB5">
              <w:rPr>
                <w:sz w:val="16"/>
                <w:szCs w:val="16"/>
              </w:rPr>
              <w:t xml:space="preserve">Page </w:t>
            </w:r>
            <w:r w:rsidRPr="007B7BB5">
              <w:rPr>
                <w:bCs/>
                <w:sz w:val="16"/>
                <w:szCs w:val="16"/>
              </w:rPr>
              <w:fldChar w:fldCharType="begin"/>
            </w:r>
            <w:r w:rsidRPr="007B7BB5">
              <w:rPr>
                <w:bCs/>
                <w:sz w:val="16"/>
                <w:szCs w:val="16"/>
              </w:rPr>
              <w:instrText xml:space="preserve"> PAGE </w:instrText>
            </w:r>
            <w:r w:rsidRPr="007B7BB5">
              <w:rPr>
                <w:bCs/>
                <w:sz w:val="16"/>
                <w:szCs w:val="16"/>
              </w:rPr>
              <w:fldChar w:fldCharType="separate"/>
            </w:r>
            <w:r w:rsidR="00CC1AE0">
              <w:rPr>
                <w:bCs/>
                <w:noProof/>
                <w:sz w:val="16"/>
                <w:szCs w:val="16"/>
              </w:rPr>
              <w:t>19</w:t>
            </w:r>
            <w:r w:rsidRPr="007B7BB5">
              <w:rPr>
                <w:bCs/>
                <w:sz w:val="16"/>
                <w:szCs w:val="16"/>
              </w:rPr>
              <w:fldChar w:fldCharType="end"/>
            </w:r>
            <w:r w:rsidRPr="007B7BB5">
              <w:rPr>
                <w:sz w:val="16"/>
                <w:szCs w:val="16"/>
              </w:rPr>
              <w:t xml:space="preserve"> of </w:t>
            </w:r>
            <w:r w:rsidRPr="007B7BB5">
              <w:rPr>
                <w:bCs/>
                <w:sz w:val="16"/>
                <w:szCs w:val="16"/>
              </w:rPr>
              <w:fldChar w:fldCharType="begin"/>
            </w:r>
            <w:r w:rsidRPr="007B7BB5">
              <w:rPr>
                <w:bCs/>
                <w:sz w:val="16"/>
                <w:szCs w:val="16"/>
              </w:rPr>
              <w:instrText xml:space="preserve"> NUMPAGES  </w:instrText>
            </w:r>
            <w:r w:rsidRPr="007B7BB5">
              <w:rPr>
                <w:bCs/>
                <w:sz w:val="16"/>
                <w:szCs w:val="16"/>
              </w:rPr>
              <w:fldChar w:fldCharType="separate"/>
            </w:r>
            <w:r w:rsidR="00CC1AE0">
              <w:rPr>
                <w:bCs/>
                <w:noProof/>
                <w:sz w:val="16"/>
                <w:szCs w:val="16"/>
              </w:rPr>
              <w:t>19</w:t>
            </w:r>
            <w:r w:rsidRPr="007B7BB5">
              <w:rPr>
                <w:bCs/>
                <w:sz w:val="16"/>
                <w:szCs w:val="16"/>
              </w:rPr>
              <w:fldChar w:fldCharType="end"/>
            </w:r>
          </w:p>
        </w:sdtContent>
      </w:sdt>
    </w:sdtContent>
  </w:sdt>
  <w:p w14:paraId="34924C3A" w14:textId="77777777" w:rsidR="007B7BB5" w:rsidRDefault="007B7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87226" w14:textId="77777777" w:rsidR="007B7BB5" w:rsidRPr="00B35331" w:rsidRDefault="007B7BB5" w:rsidP="00B35331">
      <w:pPr>
        <w:pStyle w:val="Footer"/>
      </w:pPr>
    </w:p>
  </w:footnote>
  <w:footnote w:type="continuationSeparator" w:id="0">
    <w:p w14:paraId="414FCCEE" w14:textId="77777777" w:rsidR="007B7BB5" w:rsidRDefault="007B7BB5">
      <w:r>
        <w:continuationSeparator/>
      </w:r>
    </w:p>
    <w:p w14:paraId="2D7593A3" w14:textId="77777777" w:rsidR="007B7BB5" w:rsidRDefault="007B7BB5"/>
    <w:p w14:paraId="12ADB181" w14:textId="77777777" w:rsidR="007B7BB5" w:rsidRDefault="007B7BB5"/>
  </w:footnote>
  <w:footnote w:type="continuationNotice" w:id="1">
    <w:p w14:paraId="2CCB92D7" w14:textId="77777777" w:rsidR="007B7BB5" w:rsidRDefault="007B7BB5">
      <w:pPr>
        <w:spacing w:line="240" w:lineRule="auto"/>
      </w:pPr>
    </w:p>
  </w:footnote>
  <w:footnote w:id="2">
    <w:p w14:paraId="1C273DA1" w14:textId="7C2BC3CB" w:rsidR="007B7BB5" w:rsidRDefault="007B7BB5" w:rsidP="005150FC">
      <w:pPr>
        <w:pStyle w:val="FootnoteText"/>
      </w:pPr>
      <w:r>
        <w:rPr>
          <w:rStyle w:val="FootnoteReference"/>
        </w:rPr>
        <w:footnoteRef/>
      </w:r>
      <w:r>
        <w:t xml:space="preserve"> </w:t>
      </w:r>
      <w:r>
        <w:tab/>
        <w:t xml:space="preserve">Binnen MOPAN evalueert Nederland samen met 18 gelijkgezinde landen het functioneren van VN-organisaties en Internationale Financiële Instellingen. Vanaf 2015 worden, per keer, in een tweejaarlijkse cyclus, ongeveer 13 organisaties doorgelicht op organisatorisch functioneren en ontwikkelingseffectiviteit. </w:t>
      </w:r>
    </w:p>
  </w:footnote>
  <w:footnote w:id="3">
    <w:p w14:paraId="4F5C6948" w14:textId="25A6B422" w:rsidR="007B7BB5" w:rsidRPr="005C4B06" w:rsidRDefault="007B7BB5">
      <w:pPr>
        <w:pStyle w:val="FootnoteText"/>
      </w:pPr>
      <w:r>
        <w:rPr>
          <w:rStyle w:val="FootnoteReference"/>
        </w:rPr>
        <w:footnoteRef/>
      </w:r>
      <w:r>
        <w:t xml:space="preserve"> D</w:t>
      </w:r>
      <w:r w:rsidRPr="001F51D1">
        <w:t>eze bijdragen</w:t>
      </w:r>
      <w:r>
        <w:t xml:space="preserve"> zijn</w:t>
      </w:r>
      <w:r w:rsidRPr="001F51D1">
        <w:t xml:space="preserve"> grotendeels afkomstig </w:t>
      </w:r>
      <w:r>
        <w:t>van leningen of giften van internationale financiële instellingen</w:t>
      </w:r>
    </w:p>
  </w:footnote>
  <w:footnote w:id="4">
    <w:p w14:paraId="3DA66528" w14:textId="55D1EE1C" w:rsidR="007B7BB5" w:rsidRPr="00A377DF" w:rsidRDefault="007B7BB5">
      <w:pPr>
        <w:pStyle w:val="FootnoteText"/>
      </w:pPr>
      <w:r>
        <w:rPr>
          <w:rStyle w:val="FootnoteReference"/>
        </w:rPr>
        <w:footnoteRef/>
      </w:r>
      <w:r>
        <w:t xml:space="preserve"> Geoormerkte bijdragen voor UNCTAD’s technische assistentieprogramma’s</w:t>
      </w:r>
    </w:p>
  </w:footnote>
  <w:footnote w:id="5">
    <w:p w14:paraId="2AA19D12" w14:textId="55FA56BF" w:rsidR="007B7BB5" w:rsidRPr="002E1EB1" w:rsidRDefault="007B7BB5" w:rsidP="002E1EB1">
      <w:pPr>
        <w:pStyle w:val="FootnoteText"/>
      </w:pPr>
      <w:r>
        <w:rPr>
          <w:rStyle w:val="FootnoteReference"/>
        </w:rPr>
        <w:footnoteRef/>
      </w:r>
      <w:r>
        <w:t xml:space="preserve"> Schatting van UNCTAD.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4AF8B" w14:textId="7E609CC9" w:rsidR="007B7BB5" w:rsidRPr="00252073" w:rsidRDefault="007B7BB5">
    <w:pPr>
      <w:pStyle w:val="Header"/>
      <w:rPr>
        <w:lang w:val="en-US"/>
      </w:rPr>
    </w:pPr>
    <w:r>
      <w:rPr>
        <w:rStyle w:val="Huisstijl-Koptekst"/>
      </w:rPr>
      <w:fldChar w:fldCharType="begin"/>
    </w:r>
    <w:r w:rsidRPr="00252073">
      <w:rPr>
        <w:rStyle w:val="Huisstijl-Koptekst"/>
        <w:lang w:val="en-US"/>
      </w:rPr>
      <w:instrText xml:space="preserve"> Titel </w:instrText>
    </w:r>
    <w:r>
      <w:rPr>
        <w:rStyle w:val="Huisstijl-Koptekst"/>
      </w:rPr>
      <w:fldChar w:fldCharType="separate"/>
    </w:r>
    <w:r w:rsidRPr="00252073">
      <w:rPr>
        <w:lang w:val="en-US"/>
      </w:rPr>
      <w:t>Scorecard</w:t>
    </w:r>
    <w:r>
      <w:rPr>
        <w:rStyle w:val="Huisstijl-Koptekst"/>
      </w:rPr>
      <w:fldChar w:fldCharType="end"/>
    </w:r>
    <w:r w:rsidRPr="008517DE">
      <w:rPr>
        <w:rStyle w:val="Huisstijl-Koptekst"/>
        <w:lang w:val="en-GB"/>
      </w:rPr>
      <w:t xml:space="preserve"> | </w:t>
    </w:r>
    <w:r w:rsidRPr="00252073">
      <w:rPr>
        <w:rStyle w:val="Huisstijl-Koptekst"/>
        <w:lang w:val="en-US"/>
      </w:rPr>
      <w:t>United Nations Conference on T</w:t>
    </w:r>
    <w:r>
      <w:rPr>
        <w:rStyle w:val="Huisstijl-Koptekst"/>
        <w:lang w:val="en-US"/>
      </w:rPr>
      <w:t xml:space="preserve">rade and Development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492A6" w14:textId="077254E0" w:rsidR="007B7BB5" w:rsidRPr="00785F18" w:rsidRDefault="007B7BB5" w:rsidP="00127D70">
    <w:r w:rsidRPr="00785F18">
      <w:rPr>
        <w:noProof/>
      </w:rPr>
      <mc:AlternateContent>
        <mc:Choice Requires="wps">
          <w:drawing>
            <wp:anchor distT="0" distB="0" distL="114300" distR="114300" simplePos="0" relativeHeight="251658240" behindDoc="0" locked="0" layoutInCell="1" allowOverlap="1" wp14:anchorId="5BC134A4" wp14:editId="6244E0D6">
              <wp:simplePos x="0" y="0"/>
              <wp:positionH relativeFrom="column">
                <wp:posOffset>1386840</wp:posOffset>
              </wp:positionH>
              <wp:positionV relativeFrom="page">
                <wp:posOffset>-87630</wp:posOffset>
              </wp:positionV>
              <wp:extent cx="4025900" cy="17462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7B7BB5" w14:paraId="5C1742F7" w14:textId="77777777">
                            <w:trPr>
                              <w:trHeight w:val="2636"/>
                            </w:trPr>
                            <w:tc>
                              <w:tcPr>
                                <w:tcW w:w="737" w:type="dxa"/>
                                <w:shd w:val="clear" w:color="auto" w:fill="auto"/>
                              </w:tcPr>
                              <w:p w14:paraId="69650B6D" w14:textId="0DCE8C34" w:rsidR="007B7BB5" w:rsidRDefault="007B7BB5" w:rsidP="006E263E">
                                <w:pPr>
                                  <w:spacing w:line="240" w:lineRule="auto"/>
                                </w:pPr>
                                <w:bookmarkStart w:id="7" w:name="bm_BZlogo"/>
                                <w:bookmarkEnd w:id="7"/>
                                <w:r>
                                  <w:rPr>
                                    <w:noProof/>
                                  </w:rPr>
                                  <w:drawing>
                                    <wp:inline distT="0" distB="0" distL="0" distR="0" wp14:anchorId="1E0D6859" wp14:editId="6FF10EB8">
                                      <wp:extent cx="469900" cy="1587500"/>
                                      <wp:effectExtent l="0" t="0" r="6350" b="0"/>
                                      <wp:docPr id="9" name="Picture 9"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1587500"/>
                                              </a:xfrm>
                                              <a:prstGeom prst="rect">
                                                <a:avLst/>
                                              </a:prstGeom>
                                              <a:noFill/>
                                              <a:ln>
                                                <a:noFill/>
                                              </a:ln>
                                            </pic:spPr>
                                          </pic:pic>
                                        </a:graphicData>
                                      </a:graphic>
                                    </wp:inline>
                                  </w:drawing>
                                </w:r>
                              </w:p>
                            </w:tc>
                            <w:tc>
                              <w:tcPr>
                                <w:tcW w:w="5383" w:type="dxa"/>
                                <w:shd w:val="clear" w:color="auto" w:fill="auto"/>
                              </w:tcPr>
                              <w:p w14:paraId="647448BC" w14:textId="59813A8C" w:rsidR="007B7BB5" w:rsidRDefault="007B7BB5" w:rsidP="006E263E">
                                <w:pPr>
                                  <w:spacing w:line="240" w:lineRule="auto"/>
                                </w:pPr>
                                <w:r>
                                  <w:rPr>
                                    <w:noProof/>
                                  </w:rPr>
                                  <w:drawing>
                                    <wp:inline distT="0" distB="0" distL="0" distR="0" wp14:anchorId="0368DFF9" wp14:editId="3271F999">
                                      <wp:extent cx="2444750" cy="1651000"/>
                                      <wp:effectExtent l="0" t="0" r="0" b="6350"/>
                                      <wp:docPr id="8" name="Picture 8"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0370E270" w14:textId="77777777" w:rsidR="007B7BB5" w:rsidRDefault="007B7BB5" w:rsidP="00127D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134A4" id="_x0000_t202" coordsize="21600,21600" o:spt="202" path="m,l,21600r21600,l21600,xe">
              <v:stroke joinstyle="miter"/>
              <v:path gradientshapeok="t" o:connecttype="rect"/>
            </v:shapetype>
            <v:shape id="Text Box 10" o:spid="_x0000_s1026"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WQxtgIAALw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7B7BB5" w14:paraId="5C1742F7" w14:textId="77777777">
                      <w:trPr>
                        <w:trHeight w:val="2636"/>
                      </w:trPr>
                      <w:tc>
                        <w:tcPr>
                          <w:tcW w:w="737" w:type="dxa"/>
                          <w:shd w:val="clear" w:color="auto" w:fill="auto"/>
                        </w:tcPr>
                        <w:p w14:paraId="69650B6D" w14:textId="0DCE8C34" w:rsidR="007B7BB5" w:rsidRDefault="007B7BB5" w:rsidP="006E263E">
                          <w:pPr>
                            <w:spacing w:line="240" w:lineRule="auto"/>
                          </w:pPr>
                          <w:bookmarkStart w:id="8" w:name="bm_BZlogo"/>
                          <w:bookmarkEnd w:id="8"/>
                          <w:r>
                            <w:rPr>
                              <w:noProof/>
                            </w:rPr>
                            <w:drawing>
                              <wp:inline distT="0" distB="0" distL="0" distR="0" wp14:anchorId="1E0D6859" wp14:editId="6FF10EB8">
                                <wp:extent cx="469900" cy="1587500"/>
                                <wp:effectExtent l="0" t="0" r="6350" b="0"/>
                                <wp:docPr id="9" name="Picture 9"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1587500"/>
                                        </a:xfrm>
                                        <a:prstGeom prst="rect">
                                          <a:avLst/>
                                        </a:prstGeom>
                                        <a:noFill/>
                                        <a:ln>
                                          <a:noFill/>
                                        </a:ln>
                                      </pic:spPr>
                                    </pic:pic>
                                  </a:graphicData>
                                </a:graphic>
                              </wp:inline>
                            </w:drawing>
                          </w:r>
                        </w:p>
                      </w:tc>
                      <w:tc>
                        <w:tcPr>
                          <w:tcW w:w="5383" w:type="dxa"/>
                          <w:shd w:val="clear" w:color="auto" w:fill="auto"/>
                        </w:tcPr>
                        <w:p w14:paraId="647448BC" w14:textId="59813A8C" w:rsidR="007B7BB5" w:rsidRDefault="007B7BB5" w:rsidP="006E263E">
                          <w:pPr>
                            <w:spacing w:line="240" w:lineRule="auto"/>
                          </w:pPr>
                          <w:r>
                            <w:rPr>
                              <w:noProof/>
                            </w:rPr>
                            <w:drawing>
                              <wp:inline distT="0" distB="0" distL="0" distR="0" wp14:anchorId="0368DFF9" wp14:editId="3271F999">
                                <wp:extent cx="2444750" cy="1651000"/>
                                <wp:effectExtent l="0" t="0" r="0" b="6350"/>
                                <wp:docPr id="8" name="Picture 8"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0370E270" w14:textId="77777777" w:rsidR="007B7BB5" w:rsidRDefault="007B7BB5" w:rsidP="00127D70"/>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7B7BB5" w:rsidRPr="00785F18" w14:paraId="028A077A" w14:textId="77777777" w:rsidTr="00127D70">
      <w:trPr>
        <w:cantSplit/>
        <w:trHeight w:hRule="exact" w:val="3340"/>
      </w:trPr>
      <w:tc>
        <w:tcPr>
          <w:tcW w:w="5640" w:type="dxa"/>
          <w:shd w:val="clear" w:color="auto" w:fill="auto"/>
        </w:tcPr>
        <w:p w14:paraId="735AEEDA" w14:textId="77777777" w:rsidR="007B7BB5" w:rsidRPr="00785F18" w:rsidRDefault="007B7BB5" w:rsidP="00127D70">
          <w:pPr>
            <w:ind w:left="240" w:hanging="240"/>
          </w:pPr>
        </w:p>
      </w:tc>
    </w:tr>
    <w:tr w:rsidR="007B7BB5" w:rsidRPr="007B7BB5" w14:paraId="68AF2A2B" w14:textId="77777777" w:rsidTr="00127D70">
      <w:trPr>
        <w:cantSplit/>
        <w:trHeight w:hRule="exact" w:val="1440"/>
      </w:trPr>
      <w:tc>
        <w:tcPr>
          <w:tcW w:w="5640" w:type="dxa"/>
          <w:shd w:val="clear" w:color="auto" w:fill="auto"/>
        </w:tcPr>
        <w:p w14:paraId="044D848D" w14:textId="77777777" w:rsidR="007B7BB5" w:rsidRPr="00785F18" w:rsidRDefault="007B7BB5" w:rsidP="00127D70">
          <w:pPr>
            <w:rPr>
              <w:rStyle w:val="Huisstijl-Rubricering"/>
              <w:smallCaps w:val="0"/>
            </w:rPr>
          </w:pPr>
        </w:p>
        <w:p w14:paraId="2CE2D5AA" w14:textId="77777777" w:rsidR="007B7BB5" w:rsidRPr="00785F18" w:rsidRDefault="007B7BB5" w:rsidP="00127D70">
          <w:pPr>
            <w:spacing w:line="180" w:lineRule="atLeast"/>
            <w:rPr>
              <w:rStyle w:val="Huisstijl-Rubricering"/>
              <w:smallCaps w:val="0"/>
            </w:rPr>
          </w:pPr>
        </w:p>
        <w:p w14:paraId="152BAD53" w14:textId="11F0414F" w:rsidR="007B7BB5" w:rsidRPr="00127D70" w:rsidRDefault="007B7BB5" w:rsidP="00127D70">
          <w:pPr>
            <w:pStyle w:val="Title"/>
            <w:rPr>
              <w:lang w:val="en-US"/>
            </w:rPr>
          </w:pPr>
          <w:bookmarkStart w:id="9" w:name="titel"/>
          <w:r w:rsidRPr="00127D70">
            <w:rPr>
              <w:lang w:val="en-US"/>
            </w:rPr>
            <w:t>Scorecard</w:t>
          </w:r>
          <w:bookmarkEnd w:id="9"/>
          <w:r>
            <w:rPr>
              <w:lang w:val="en-US"/>
            </w:rPr>
            <w:t xml:space="preserve"> </w:t>
          </w:r>
          <w:r w:rsidRPr="00127D70">
            <w:rPr>
              <w:rStyle w:val="SubtitleChar"/>
              <w:lang w:val="en-US"/>
            </w:rPr>
            <w:t>United Nations Conference on Trade and Development</w:t>
          </w:r>
        </w:p>
        <w:p w14:paraId="47A4F3D3" w14:textId="77777777" w:rsidR="007B7BB5" w:rsidRPr="00B36546" w:rsidRDefault="007B7BB5" w:rsidP="00127D70">
          <w:pPr>
            <w:rPr>
              <w:lang w:val="en-GB"/>
            </w:rPr>
          </w:pPr>
        </w:p>
        <w:p w14:paraId="1E2ABD5C" w14:textId="77777777" w:rsidR="007B7BB5" w:rsidRPr="00B36546" w:rsidRDefault="007B7BB5" w:rsidP="00127D70">
          <w:pPr>
            <w:tabs>
              <w:tab w:val="left" w:pos="3281"/>
            </w:tabs>
            <w:rPr>
              <w:lang w:val="en-GB"/>
            </w:rPr>
          </w:pPr>
          <w:r w:rsidRPr="00B36546">
            <w:rPr>
              <w:lang w:val="en-GB"/>
            </w:rPr>
            <w:tab/>
          </w:r>
        </w:p>
      </w:tc>
    </w:tr>
    <w:tr w:rsidR="007B7BB5" w:rsidRPr="007B7BB5" w14:paraId="289BB03B" w14:textId="77777777" w:rsidTr="00127D70">
      <w:trPr>
        <w:cantSplit/>
        <w:trHeight w:hRule="exact" w:val="240"/>
      </w:trPr>
      <w:tc>
        <w:tcPr>
          <w:tcW w:w="5640" w:type="dxa"/>
          <w:shd w:val="clear" w:color="auto" w:fill="auto"/>
        </w:tcPr>
        <w:p w14:paraId="22F192DB" w14:textId="77777777" w:rsidR="007B7BB5" w:rsidRPr="00B36546" w:rsidRDefault="007B7BB5" w:rsidP="00127D70">
          <w:pPr>
            <w:rPr>
              <w:lang w:val="en-GB"/>
            </w:rPr>
          </w:pPr>
        </w:p>
      </w:tc>
    </w:tr>
    <w:tr w:rsidR="007B7BB5" w:rsidRPr="007B7BB5" w14:paraId="4921BD81" w14:textId="77777777" w:rsidTr="00127D70">
      <w:trPr>
        <w:cantSplit/>
        <w:trHeight w:hRule="exact" w:val="480"/>
      </w:trPr>
      <w:tc>
        <w:tcPr>
          <w:tcW w:w="5640" w:type="dxa"/>
          <w:shd w:val="clear" w:color="auto" w:fill="auto"/>
        </w:tcPr>
        <w:p w14:paraId="77C484A6" w14:textId="77777777" w:rsidR="007B7BB5" w:rsidRPr="00B36546" w:rsidRDefault="007B7BB5" w:rsidP="00127D70">
          <w:pPr>
            <w:rPr>
              <w:lang w:val="en-GB"/>
            </w:rPr>
          </w:pPr>
        </w:p>
      </w:tc>
    </w:tr>
  </w:tbl>
  <w:p w14:paraId="2E6FD89A" w14:textId="306DA6AA" w:rsidR="007B7BB5" w:rsidRPr="00B36546" w:rsidRDefault="007B7BB5" w:rsidP="00127D70">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15 augustus 2017</w:t>
    </w:r>
  </w:p>
  <w:p w14:paraId="13D56483" w14:textId="77777777" w:rsidR="007B7BB5" w:rsidRPr="00B36546" w:rsidRDefault="007B7BB5" w:rsidP="00127D70">
    <w:pPr>
      <w:rPr>
        <w:lang w:val="en-GB"/>
      </w:rPr>
    </w:pPr>
  </w:p>
  <w:p w14:paraId="14ECCC6A" w14:textId="77777777" w:rsidR="007B7BB5" w:rsidRPr="00785F18" w:rsidRDefault="007B7BB5"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7B7BB5" w:rsidRPr="008517DE" w14:paraId="28AAD1AB" w14:textId="77777777" w:rsidTr="00B06D4B">
      <w:trPr>
        <w:trHeight w:val="400"/>
      </w:trPr>
      <w:tc>
        <w:tcPr>
          <w:tcW w:w="7520" w:type="dxa"/>
          <w:shd w:val="clear" w:color="auto" w:fill="auto"/>
        </w:tcPr>
        <w:p w14:paraId="5B6ABB93" w14:textId="482ED4C4" w:rsidR="007B7BB5" w:rsidRPr="008517DE" w:rsidRDefault="007B7BB5" w:rsidP="00B06D4B">
          <w:pPr>
            <w:adjustRightInd w:val="0"/>
            <w:spacing w:line="180" w:lineRule="exact"/>
            <w:rPr>
              <w:sz w:val="13"/>
              <w:lang w:val="en-GB"/>
            </w:rPr>
          </w:pPr>
        </w:p>
      </w:tc>
    </w:tr>
  </w:tbl>
  <w:p w14:paraId="3C3A49BD" w14:textId="77777777" w:rsidR="007B7BB5" w:rsidRPr="008517DE" w:rsidRDefault="007B7BB5"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3BB5F57"/>
    <w:multiLevelType w:val="multilevel"/>
    <w:tmpl w:val="5AEEDE88"/>
    <w:numStyleLink w:val="StyleBulleted"/>
  </w:abstractNum>
  <w:abstractNum w:abstractNumId="2"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C181DF1"/>
    <w:multiLevelType w:val="multilevel"/>
    <w:tmpl w:val="E6FAA9E2"/>
    <w:lvl w:ilvl="0">
      <w:start w:val="1"/>
      <w:numFmt w:val="bullet"/>
      <w:lvlText w:val=""/>
      <w:lvlJc w:val="left"/>
      <w:pPr>
        <w:tabs>
          <w:tab w:val="num" w:pos="720"/>
        </w:tabs>
        <w:ind w:left="720" w:hanging="360"/>
      </w:pPr>
      <w:rPr>
        <w:rFonts w:ascii="Symbol" w:hAnsi="Symbol" w:hint="default"/>
        <w:sz w:val="20"/>
        <w:lang w:val="nl-NL"/>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7"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23655D"/>
    <w:multiLevelType w:val="multilevel"/>
    <w:tmpl w:val="5AEEDE88"/>
    <w:numStyleLink w:val="StyleBulleted"/>
  </w:abstractNum>
  <w:abstractNum w:abstractNumId="9"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A5A20BC"/>
    <w:multiLevelType w:val="multilevel"/>
    <w:tmpl w:val="5AEEDE88"/>
    <w:numStyleLink w:val="StyleBulleted"/>
  </w:abstractNum>
  <w:abstractNum w:abstractNumId="11"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3"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2F82FF2"/>
    <w:multiLevelType w:val="multilevel"/>
    <w:tmpl w:val="5AEEDE88"/>
    <w:numStyleLink w:val="StyleBulleted"/>
  </w:abstractNum>
  <w:abstractNum w:abstractNumId="16"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B941A4A"/>
    <w:multiLevelType w:val="hybridMultilevel"/>
    <w:tmpl w:val="B97C5A88"/>
    <w:lvl w:ilvl="0" w:tplc="BFCEB880">
      <w:start w:val="3"/>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0"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1"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4" w15:restartNumberingAfterBreak="0">
    <w:nsid w:val="408335F4"/>
    <w:multiLevelType w:val="multilevel"/>
    <w:tmpl w:val="5AEEDE88"/>
    <w:numStyleLink w:val="StyleBulleted"/>
  </w:abstractNum>
  <w:abstractNum w:abstractNumId="25" w15:restartNumberingAfterBreak="0">
    <w:nsid w:val="42C82945"/>
    <w:multiLevelType w:val="hybridMultilevel"/>
    <w:tmpl w:val="ABEE41EA"/>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7"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5A023E6"/>
    <w:multiLevelType w:val="hybridMultilevel"/>
    <w:tmpl w:val="D43209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0" w15:restartNumberingAfterBreak="0">
    <w:nsid w:val="5D750EE7"/>
    <w:multiLevelType w:val="multilevel"/>
    <w:tmpl w:val="5AEEDE88"/>
    <w:numStyleLink w:val="StyleBulleted"/>
  </w:abstractNum>
  <w:abstractNum w:abstractNumId="31" w15:restartNumberingAfterBreak="0">
    <w:nsid w:val="5EE005E3"/>
    <w:multiLevelType w:val="multilevel"/>
    <w:tmpl w:val="F620B61A"/>
    <w:lvl w:ilvl="0">
      <w:start w:val="1"/>
      <w:numFmt w:val="bullet"/>
      <w:lvlText w:val=""/>
      <w:lvlJc w:val="left"/>
      <w:pPr>
        <w:tabs>
          <w:tab w:val="num" w:pos="360"/>
        </w:tabs>
        <w:ind w:left="360" w:hanging="360"/>
      </w:pPr>
      <w:rPr>
        <w:rFonts w:ascii="Wingdings" w:hAnsi="Wingdings" w:hint="default"/>
        <w:sz w:val="20"/>
        <w:lang w:val="nl-NL"/>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3" w15:restartNumberingAfterBreak="0">
    <w:nsid w:val="602422A2"/>
    <w:multiLevelType w:val="hybridMultilevel"/>
    <w:tmpl w:val="7E52874E"/>
    <w:lvl w:ilvl="0" w:tplc="C0FC1120">
      <w:start w:val="3"/>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5" w15:restartNumberingAfterBreak="0">
    <w:nsid w:val="63A20AAC"/>
    <w:multiLevelType w:val="multilevel"/>
    <w:tmpl w:val="5AEEDE88"/>
    <w:numStyleLink w:val="StyleBulleted"/>
  </w:abstractNum>
  <w:abstractNum w:abstractNumId="36"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7" w15:restartNumberingAfterBreak="0">
    <w:nsid w:val="682E7170"/>
    <w:multiLevelType w:val="hybridMultilevel"/>
    <w:tmpl w:val="6688EF1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9" w15:restartNumberingAfterBreak="0">
    <w:nsid w:val="6D193965"/>
    <w:multiLevelType w:val="multilevel"/>
    <w:tmpl w:val="5AEEDE88"/>
    <w:numStyleLink w:val="StyleBulleted"/>
  </w:abstractNum>
  <w:abstractNum w:abstractNumId="40" w15:restartNumberingAfterBreak="0">
    <w:nsid w:val="6F1B2CBC"/>
    <w:multiLevelType w:val="multilevel"/>
    <w:tmpl w:val="5AEEDE88"/>
    <w:numStyleLink w:val="StyleBulleted"/>
  </w:abstractNum>
  <w:abstractNum w:abstractNumId="41"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42"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3"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2"/>
  </w:num>
  <w:num w:numId="2">
    <w:abstractNumId w:val="36"/>
  </w:num>
  <w:num w:numId="3">
    <w:abstractNumId w:val="23"/>
  </w:num>
  <w:num w:numId="4">
    <w:abstractNumId w:val="0"/>
  </w:num>
  <w:num w:numId="5">
    <w:abstractNumId w:val="38"/>
  </w:num>
  <w:num w:numId="6">
    <w:abstractNumId w:val="2"/>
  </w:num>
  <w:num w:numId="7">
    <w:abstractNumId w:val="13"/>
  </w:num>
  <w:num w:numId="8">
    <w:abstractNumId w:val="40"/>
  </w:num>
  <w:num w:numId="9">
    <w:abstractNumId w:val="35"/>
  </w:num>
  <w:num w:numId="10">
    <w:abstractNumId w:val="15"/>
  </w:num>
  <w:num w:numId="11">
    <w:abstractNumId w:val="8"/>
  </w:num>
  <w:num w:numId="12">
    <w:abstractNumId w:val="39"/>
  </w:num>
  <w:num w:numId="13">
    <w:abstractNumId w:val="20"/>
  </w:num>
  <w:num w:numId="14">
    <w:abstractNumId w:val="1"/>
  </w:num>
  <w:num w:numId="15">
    <w:abstractNumId w:val="10"/>
  </w:num>
  <w:num w:numId="16">
    <w:abstractNumId w:val="34"/>
  </w:num>
  <w:num w:numId="17">
    <w:abstractNumId w:val="24"/>
  </w:num>
  <w:num w:numId="18">
    <w:abstractNumId w:val="30"/>
  </w:num>
  <w:num w:numId="19">
    <w:abstractNumId w:val="19"/>
  </w:num>
  <w:num w:numId="20">
    <w:abstractNumId w:val="42"/>
  </w:num>
  <w:num w:numId="21">
    <w:abstractNumId w:val="6"/>
  </w:num>
  <w:num w:numId="22">
    <w:abstractNumId w:val="26"/>
  </w:num>
  <w:num w:numId="23">
    <w:abstractNumId w:val="43"/>
  </w:num>
  <w:num w:numId="24">
    <w:abstractNumId w:val="16"/>
  </w:num>
  <w:num w:numId="25">
    <w:abstractNumId w:val="16"/>
  </w:num>
  <w:num w:numId="26">
    <w:abstractNumId w:val="12"/>
  </w:num>
  <w:num w:numId="27">
    <w:abstractNumId w:val="11"/>
  </w:num>
  <w:num w:numId="28">
    <w:abstractNumId w:val="9"/>
  </w:num>
  <w:num w:numId="29">
    <w:abstractNumId w:val="7"/>
  </w:num>
  <w:num w:numId="30">
    <w:abstractNumId w:val="3"/>
  </w:num>
  <w:num w:numId="31">
    <w:abstractNumId w:val="22"/>
  </w:num>
  <w:num w:numId="32">
    <w:abstractNumId w:val="21"/>
  </w:num>
  <w:num w:numId="33">
    <w:abstractNumId w:val="17"/>
  </w:num>
  <w:num w:numId="34">
    <w:abstractNumId w:val="44"/>
  </w:num>
  <w:num w:numId="35">
    <w:abstractNumId w:val="5"/>
  </w:num>
  <w:num w:numId="36">
    <w:abstractNumId w:val="28"/>
  </w:num>
  <w:num w:numId="37">
    <w:abstractNumId w:val="41"/>
  </w:num>
  <w:num w:numId="38">
    <w:abstractNumId w:val="14"/>
  </w:num>
  <w:num w:numId="39">
    <w:abstractNumId w:val="27"/>
  </w:num>
  <w:num w:numId="40">
    <w:abstractNumId w:val="33"/>
  </w:num>
  <w:num w:numId="41">
    <w:abstractNumId w:val="18"/>
  </w:num>
  <w:num w:numId="42">
    <w:abstractNumId w:val="4"/>
  </w:num>
  <w:num w:numId="43">
    <w:abstractNumId w:val="37"/>
  </w:num>
  <w:num w:numId="44">
    <w:abstractNumId w:val="31"/>
  </w:num>
  <w:num w:numId="45">
    <w:abstractNumId w:val="25"/>
  </w:num>
  <w:num w:numId="46">
    <w:abstractNumId w:val="29"/>
  </w:num>
  <w:num w:numId="47">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8704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367D"/>
    <w:rsid w:val="0000392E"/>
    <w:rsid w:val="00003A32"/>
    <w:rsid w:val="00003B2D"/>
    <w:rsid w:val="00005884"/>
    <w:rsid w:val="00006E47"/>
    <w:rsid w:val="00007787"/>
    <w:rsid w:val="0001095C"/>
    <w:rsid w:val="000114F8"/>
    <w:rsid w:val="00011D16"/>
    <w:rsid w:val="000122EE"/>
    <w:rsid w:val="00013196"/>
    <w:rsid w:val="00013B41"/>
    <w:rsid w:val="00016C57"/>
    <w:rsid w:val="000179E9"/>
    <w:rsid w:val="00020189"/>
    <w:rsid w:val="00020EE4"/>
    <w:rsid w:val="000227EB"/>
    <w:rsid w:val="00022F9E"/>
    <w:rsid w:val="000234D6"/>
    <w:rsid w:val="00025E14"/>
    <w:rsid w:val="0002628D"/>
    <w:rsid w:val="00026447"/>
    <w:rsid w:val="0002695C"/>
    <w:rsid w:val="000304C1"/>
    <w:rsid w:val="00031268"/>
    <w:rsid w:val="00032C0E"/>
    <w:rsid w:val="00033419"/>
    <w:rsid w:val="00033426"/>
    <w:rsid w:val="00033950"/>
    <w:rsid w:val="00033E8D"/>
    <w:rsid w:val="00034A84"/>
    <w:rsid w:val="00035E67"/>
    <w:rsid w:val="00036D0C"/>
    <w:rsid w:val="0004192F"/>
    <w:rsid w:val="000422E7"/>
    <w:rsid w:val="00043355"/>
    <w:rsid w:val="00044809"/>
    <w:rsid w:val="00045993"/>
    <w:rsid w:val="00045A4F"/>
    <w:rsid w:val="00046866"/>
    <w:rsid w:val="00046B76"/>
    <w:rsid w:val="00046DDB"/>
    <w:rsid w:val="00046FF9"/>
    <w:rsid w:val="00047318"/>
    <w:rsid w:val="0005061F"/>
    <w:rsid w:val="00050ABD"/>
    <w:rsid w:val="00050B6A"/>
    <w:rsid w:val="00051416"/>
    <w:rsid w:val="000522D5"/>
    <w:rsid w:val="00054A5E"/>
    <w:rsid w:val="000559DE"/>
    <w:rsid w:val="00057B03"/>
    <w:rsid w:val="0006027D"/>
    <w:rsid w:val="00060582"/>
    <w:rsid w:val="000605A3"/>
    <w:rsid w:val="000626CD"/>
    <w:rsid w:val="00066E0E"/>
    <w:rsid w:val="00066F2B"/>
    <w:rsid w:val="0006700B"/>
    <w:rsid w:val="000703F0"/>
    <w:rsid w:val="000705D1"/>
    <w:rsid w:val="0007100D"/>
    <w:rsid w:val="00071F28"/>
    <w:rsid w:val="00071F58"/>
    <w:rsid w:val="00072371"/>
    <w:rsid w:val="00072E15"/>
    <w:rsid w:val="000766E3"/>
    <w:rsid w:val="00076FCC"/>
    <w:rsid w:val="00077900"/>
    <w:rsid w:val="00080AE8"/>
    <w:rsid w:val="00081155"/>
    <w:rsid w:val="00081825"/>
    <w:rsid w:val="00081DD4"/>
    <w:rsid w:val="0008255C"/>
    <w:rsid w:val="00082BB1"/>
    <w:rsid w:val="000840E1"/>
    <w:rsid w:val="000842B5"/>
    <w:rsid w:val="000842F4"/>
    <w:rsid w:val="00085F22"/>
    <w:rsid w:val="0008640E"/>
    <w:rsid w:val="0008784B"/>
    <w:rsid w:val="00087FA0"/>
    <w:rsid w:val="000903DE"/>
    <w:rsid w:val="00090808"/>
    <w:rsid w:val="0009114D"/>
    <w:rsid w:val="000912C6"/>
    <w:rsid w:val="000924C1"/>
    <w:rsid w:val="00092740"/>
    <w:rsid w:val="00093522"/>
    <w:rsid w:val="00094518"/>
    <w:rsid w:val="00094A14"/>
    <w:rsid w:val="00094B45"/>
    <w:rsid w:val="00096680"/>
    <w:rsid w:val="00096DA7"/>
    <w:rsid w:val="00097B3F"/>
    <w:rsid w:val="000A01F6"/>
    <w:rsid w:val="000A0BB1"/>
    <w:rsid w:val="000A22CF"/>
    <w:rsid w:val="000A27FF"/>
    <w:rsid w:val="000A2DF7"/>
    <w:rsid w:val="000A381C"/>
    <w:rsid w:val="000A3AF6"/>
    <w:rsid w:val="000B1203"/>
    <w:rsid w:val="000B1DBD"/>
    <w:rsid w:val="000B2A0F"/>
    <w:rsid w:val="000B477F"/>
    <w:rsid w:val="000B64F8"/>
    <w:rsid w:val="000B6977"/>
    <w:rsid w:val="000B7281"/>
    <w:rsid w:val="000B73BA"/>
    <w:rsid w:val="000C05BF"/>
    <w:rsid w:val="000C0757"/>
    <w:rsid w:val="000C07A1"/>
    <w:rsid w:val="000C082E"/>
    <w:rsid w:val="000C0FB6"/>
    <w:rsid w:val="000C3F40"/>
    <w:rsid w:val="000C43A2"/>
    <w:rsid w:val="000C4679"/>
    <w:rsid w:val="000C521E"/>
    <w:rsid w:val="000C575D"/>
    <w:rsid w:val="000C5810"/>
    <w:rsid w:val="000C5E4F"/>
    <w:rsid w:val="000C6B95"/>
    <w:rsid w:val="000C6EED"/>
    <w:rsid w:val="000D1063"/>
    <w:rsid w:val="000D2C16"/>
    <w:rsid w:val="000D3986"/>
    <w:rsid w:val="000D73C1"/>
    <w:rsid w:val="000D7BB7"/>
    <w:rsid w:val="000E15AA"/>
    <w:rsid w:val="000E21AD"/>
    <w:rsid w:val="000E2A5E"/>
    <w:rsid w:val="000E45C3"/>
    <w:rsid w:val="000E474F"/>
    <w:rsid w:val="000F03D7"/>
    <w:rsid w:val="000F1533"/>
    <w:rsid w:val="000F1A72"/>
    <w:rsid w:val="000F2632"/>
    <w:rsid w:val="000F29E1"/>
    <w:rsid w:val="000F31B6"/>
    <w:rsid w:val="000F3636"/>
    <w:rsid w:val="000F3FC7"/>
    <w:rsid w:val="000F46A7"/>
    <w:rsid w:val="000F4B53"/>
    <w:rsid w:val="000F53BE"/>
    <w:rsid w:val="000F6168"/>
    <w:rsid w:val="00101F98"/>
    <w:rsid w:val="00102DFB"/>
    <w:rsid w:val="001031E7"/>
    <w:rsid w:val="00104517"/>
    <w:rsid w:val="001069BA"/>
    <w:rsid w:val="00107A7A"/>
    <w:rsid w:val="00107EB4"/>
    <w:rsid w:val="00112C47"/>
    <w:rsid w:val="00113910"/>
    <w:rsid w:val="00114409"/>
    <w:rsid w:val="00115C62"/>
    <w:rsid w:val="00116E2A"/>
    <w:rsid w:val="001175DA"/>
    <w:rsid w:val="001210BF"/>
    <w:rsid w:val="00121AD6"/>
    <w:rsid w:val="00122BDB"/>
    <w:rsid w:val="00123082"/>
    <w:rsid w:val="00123124"/>
    <w:rsid w:val="00123704"/>
    <w:rsid w:val="00124B64"/>
    <w:rsid w:val="00125028"/>
    <w:rsid w:val="00125154"/>
    <w:rsid w:val="00125A07"/>
    <w:rsid w:val="001270C7"/>
    <w:rsid w:val="00127D70"/>
    <w:rsid w:val="00130DA2"/>
    <w:rsid w:val="00131D1F"/>
    <w:rsid w:val="0013301B"/>
    <w:rsid w:val="00133FF5"/>
    <w:rsid w:val="00134D07"/>
    <w:rsid w:val="00135A17"/>
    <w:rsid w:val="00136130"/>
    <w:rsid w:val="00136D94"/>
    <w:rsid w:val="0014161D"/>
    <w:rsid w:val="0014193E"/>
    <w:rsid w:val="00142259"/>
    <w:rsid w:val="00142628"/>
    <w:rsid w:val="00142859"/>
    <w:rsid w:val="001429A1"/>
    <w:rsid w:val="00142BCD"/>
    <w:rsid w:val="00144379"/>
    <w:rsid w:val="001446F0"/>
    <w:rsid w:val="001469B5"/>
    <w:rsid w:val="0014786A"/>
    <w:rsid w:val="0015109B"/>
    <w:rsid w:val="001516A4"/>
    <w:rsid w:val="00153ACC"/>
    <w:rsid w:val="00154AD8"/>
    <w:rsid w:val="00155A1A"/>
    <w:rsid w:val="00156C6B"/>
    <w:rsid w:val="00160E91"/>
    <w:rsid w:val="00162DD7"/>
    <w:rsid w:val="00163B1F"/>
    <w:rsid w:val="00163F42"/>
    <w:rsid w:val="00163F5B"/>
    <w:rsid w:val="00163FA2"/>
    <w:rsid w:val="00163FF4"/>
    <w:rsid w:val="00164384"/>
    <w:rsid w:val="00164D75"/>
    <w:rsid w:val="00165BCE"/>
    <w:rsid w:val="00166242"/>
    <w:rsid w:val="00167F79"/>
    <w:rsid w:val="00171332"/>
    <w:rsid w:val="00171AFC"/>
    <w:rsid w:val="001739A0"/>
    <w:rsid w:val="00173C96"/>
    <w:rsid w:val="00173E2E"/>
    <w:rsid w:val="0017443F"/>
    <w:rsid w:val="001753DD"/>
    <w:rsid w:val="00177180"/>
    <w:rsid w:val="001802CA"/>
    <w:rsid w:val="00180CBA"/>
    <w:rsid w:val="00181629"/>
    <w:rsid w:val="00181A35"/>
    <w:rsid w:val="00182C7C"/>
    <w:rsid w:val="00183CBA"/>
    <w:rsid w:val="00183FB1"/>
    <w:rsid w:val="00185576"/>
    <w:rsid w:val="00185951"/>
    <w:rsid w:val="001873AB"/>
    <w:rsid w:val="00190624"/>
    <w:rsid w:val="00190CA7"/>
    <w:rsid w:val="00191587"/>
    <w:rsid w:val="00192687"/>
    <w:rsid w:val="0019336F"/>
    <w:rsid w:val="00193994"/>
    <w:rsid w:val="00193EEB"/>
    <w:rsid w:val="00194809"/>
    <w:rsid w:val="001952F9"/>
    <w:rsid w:val="00195B13"/>
    <w:rsid w:val="00196649"/>
    <w:rsid w:val="001A2505"/>
    <w:rsid w:val="001A4CE3"/>
    <w:rsid w:val="001A5149"/>
    <w:rsid w:val="001A5422"/>
    <w:rsid w:val="001A7D8B"/>
    <w:rsid w:val="001B0189"/>
    <w:rsid w:val="001B01D9"/>
    <w:rsid w:val="001B1B4E"/>
    <w:rsid w:val="001B2C4B"/>
    <w:rsid w:val="001B4DD3"/>
    <w:rsid w:val="001B5DC5"/>
    <w:rsid w:val="001B6FAF"/>
    <w:rsid w:val="001B793F"/>
    <w:rsid w:val="001B7D7E"/>
    <w:rsid w:val="001C0CF4"/>
    <w:rsid w:val="001C1AF8"/>
    <w:rsid w:val="001C252B"/>
    <w:rsid w:val="001C376D"/>
    <w:rsid w:val="001C3DBE"/>
    <w:rsid w:val="001C3DE6"/>
    <w:rsid w:val="001C47F8"/>
    <w:rsid w:val="001C49CC"/>
    <w:rsid w:val="001C6550"/>
    <w:rsid w:val="001C793E"/>
    <w:rsid w:val="001D0371"/>
    <w:rsid w:val="001D0FB6"/>
    <w:rsid w:val="001D288C"/>
    <w:rsid w:val="001D5178"/>
    <w:rsid w:val="001D55F5"/>
    <w:rsid w:val="001D6FF0"/>
    <w:rsid w:val="001D7265"/>
    <w:rsid w:val="001D7F60"/>
    <w:rsid w:val="001E0CF3"/>
    <w:rsid w:val="001E16F8"/>
    <w:rsid w:val="001E1E35"/>
    <w:rsid w:val="001E28BC"/>
    <w:rsid w:val="001E2B9C"/>
    <w:rsid w:val="001E34C6"/>
    <w:rsid w:val="001E3F1E"/>
    <w:rsid w:val="001E4E2E"/>
    <w:rsid w:val="001E5581"/>
    <w:rsid w:val="001E5C2F"/>
    <w:rsid w:val="001E73BA"/>
    <w:rsid w:val="001F0250"/>
    <w:rsid w:val="001F0D75"/>
    <w:rsid w:val="001F1A41"/>
    <w:rsid w:val="001F1C08"/>
    <w:rsid w:val="001F2538"/>
    <w:rsid w:val="001F34A9"/>
    <w:rsid w:val="001F3AD3"/>
    <w:rsid w:val="001F4710"/>
    <w:rsid w:val="001F4D72"/>
    <w:rsid w:val="001F51D1"/>
    <w:rsid w:val="001F562C"/>
    <w:rsid w:val="001F583B"/>
    <w:rsid w:val="001F58A7"/>
    <w:rsid w:val="001F6340"/>
    <w:rsid w:val="002004FB"/>
    <w:rsid w:val="00200A93"/>
    <w:rsid w:val="0020134C"/>
    <w:rsid w:val="00201690"/>
    <w:rsid w:val="00205562"/>
    <w:rsid w:val="002068BD"/>
    <w:rsid w:val="00210629"/>
    <w:rsid w:val="00210F2B"/>
    <w:rsid w:val="00211122"/>
    <w:rsid w:val="002121BE"/>
    <w:rsid w:val="0021384A"/>
    <w:rsid w:val="00216302"/>
    <w:rsid w:val="0021639F"/>
    <w:rsid w:val="002165AB"/>
    <w:rsid w:val="00216ADD"/>
    <w:rsid w:val="002171A2"/>
    <w:rsid w:val="00220A1C"/>
    <w:rsid w:val="002212B1"/>
    <w:rsid w:val="002216FF"/>
    <w:rsid w:val="00221806"/>
    <w:rsid w:val="002222A2"/>
    <w:rsid w:val="0022295F"/>
    <w:rsid w:val="00223E42"/>
    <w:rsid w:val="00225E51"/>
    <w:rsid w:val="00226802"/>
    <w:rsid w:val="0022787B"/>
    <w:rsid w:val="0023423D"/>
    <w:rsid w:val="0023425B"/>
    <w:rsid w:val="002342E8"/>
    <w:rsid w:val="00234DF4"/>
    <w:rsid w:val="00234F48"/>
    <w:rsid w:val="00237401"/>
    <w:rsid w:val="00237F45"/>
    <w:rsid w:val="0024163C"/>
    <w:rsid w:val="00242356"/>
    <w:rsid w:val="002428E3"/>
    <w:rsid w:val="00247064"/>
    <w:rsid w:val="00247458"/>
    <w:rsid w:val="0025034D"/>
    <w:rsid w:val="00252073"/>
    <w:rsid w:val="00254103"/>
    <w:rsid w:val="00255F92"/>
    <w:rsid w:val="002568BC"/>
    <w:rsid w:val="00256E73"/>
    <w:rsid w:val="002579E2"/>
    <w:rsid w:val="00260BAF"/>
    <w:rsid w:val="00261F77"/>
    <w:rsid w:val="00262AD4"/>
    <w:rsid w:val="002633CA"/>
    <w:rsid w:val="002644F5"/>
    <w:rsid w:val="00264CB9"/>
    <w:rsid w:val="00264FAA"/>
    <w:rsid w:val="002650F7"/>
    <w:rsid w:val="00266018"/>
    <w:rsid w:val="00267BA5"/>
    <w:rsid w:val="0027051F"/>
    <w:rsid w:val="00270C2B"/>
    <w:rsid w:val="00272209"/>
    <w:rsid w:val="00272C96"/>
    <w:rsid w:val="002731C3"/>
    <w:rsid w:val="002733CD"/>
    <w:rsid w:val="002744F6"/>
    <w:rsid w:val="0027467F"/>
    <w:rsid w:val="0027471C"/>
    <w:rsid w:val="00276FA4"/>
    <w:rsid w:val="00277825"/>
    <w:rsid w:val="002803F3"/>
    <w:rsid w:val="00280445"/>
    <w:rsid w:val="0028070F"/>
    <w:rsid w:val="00280CF7"/>
    <w:rsid w:val="00280F74"/>
    <w:rsid w:val="00281658"/>
    <w:rsid w:val="00281846"/>
    <w:rsid w:val="0028266E"/>
    <w:rsid w:val="00283363"/>
    <w:rsid w:val="00286998"/>
    <w:rsid w:val="00286A61"/>
    <w:rsid w:val="002874CC"/>
    <w:rsid w:val="00290043"/>
    <w:rsid w:val="00290126"/>
    <w:rsid w:val="00290320"/>
    <w:rsid w:val="00290657"/>
    <w:rsid w:val="002912E8"/>
    <w:rsid w:val="002957DE"/>
    <w:rsid w:val="00296115"/>
    <w:rsid w:val="00297320"/>
    <w:rsid w:val="002A063D"/>
    <w:rsid w:val="002A149F"/>
    <w:rsid w:val="002A1CB5"/>
    <w:rsid w:val="002A310E"/>
    <w:rsid w:val="002A5261"/>
    <w:rsid w:val="002A6BF7"/>
    <w:rsid w:val="002B0F2F"/>
    <w:rsid w:val="002B153C"/>
    <w:rsid w:val="002B26FD"/>
    <w:rsid w:val="002B53EE"/>
    <w:rsid w:val="002B5BA2"/>
    <w:rsid w:val="002B72C5"/>
    <w:rsid w:val="002B7582"/>
    <w:rsid w:val="002B76D0"/>
    <w:rsid w:val="002C01F4"/>
    <w:rsid w:val="002C0465"/>
    <w:rsid w:val="002C1986"/>
    <w:rsid w:val="002C2320"/>
    <w:rsid w:val="002C27D2"/>
    <w:rsid w:val="002C3659"/>
    <w:rsid w:val="002C45B0"/>
    <w:rsid w:val="002C6064"/>
    <w:rsid w:val="002C6A05"/>
    <w:rsid w:val="002C7285"/>
    <w:rsid w:val="002C7362"/>
    <w:rsid w:val="002C75D9"/>
    <w:rsid w:val="002C77AF"/>
    <w:rsid w:val="002D16B9"/>
    <w:rsid w:val="002D1801"/>
    <w:rsid w:val="002D2373"/>
    <w:rsid w:val="002D3129"/>
    <w:rsid w:val="002D317B"/>
    <w:rsid w:val="002D465C"/>
    <w:rsid w:val="002D6A7D"/>
    <w:rsid w:val="002D6BF5"/>
    <w:rsid w:val="002D70F3"/>
    <w:rsid w:val="002E05CA"/>
    <w:rsid w:val="002E0F69"/>
    <w:rsid w:val="002E14DF"/>
    <w:rsid w:val="002E14E1"/>
    <w:rsid w:val="002E184D"/>
    <w:rsid w:val="002E1EB1"/>
    <w:rsid w:val="002E1FAD"/>
    <w:rsid w:val="002E2335"/>
    <w:rsid w:val="002E3F64"/>
    <w:rsid w:val="002E44D1"/>
    <w:rsid w:val="002E572E"/>
    <w:rsid w:val="002E7941"/>
    <w:rsid w:val="002F1D5F"/>
    <w:rsid w:val="002F2268"/>
    <w:rsid w:val="002F35DC"/>
    <w:rsid w:val="002F56DD"/>
    <w:rsid w:val="002F5E6C"/>
    <w:rsid w:val="002F6CE5"/>
    <w:rsid w:val="002F7070"/>
    <w:rsid w:val="0030018C"/>
    <w:rsid w:val="00300D9E"/>
    <w:rsid w:val="0030201A"/>
    <w:rsid w:val="00302C0A"/>
    <w:rsid w:val="00302FBE"/>
    <w:rsid w:val="0030314A"/>
    <w:rsid w:val="00303724"/>
    <w:rsid w:val="003051CC"/>
    <w:rsid w:val="00306B7E"/>
    <w:rsid w:val="00307981"/>
    <w:rsid w:val="00307CF0"/>
    <w:rsid w:val="00311BDF"/>
    <w:rsid w:val="00311D97"/>
    <w:rsid w:val="00312597"/>
    <w:rsid w:val="003139A4"/>
    <w:rsid w:val="00313A71"/>
    <w:rsid w:val="003141DF"/>
    <w:rsid w:val="00317297"/>
    <w:rsid w:val="0031751C"/>
    <w:rsid w:val="00321AA3"/>
    <w:rsid w:val="003248D1"/>
    <w:rsid w:val="0032547D"/>
    <w:rsid w:val="00326699"/>
    <w:rsid w:val="0033097B"/>
    <w:rsid w:val="00330A54"/>
    <w:rsid w:val="00330E15"/>
    <w:rsid w:val="00331272"/>
    <w:rsid w:val="0033173E"/>
    <w:rsid w:val="00331B8E"/>
    <w:rsid w:val="0033207E"/>
    <w:rsid w:val="00332E91"/>
    <w:rsid w:val="00333036"/>
    <w:rsid w:val="003331DA"/>
    <w:rsid w:val="00333A9E"/>
    <w:rsid w:val="00333D76"/>
    <w:rsid w:val="00334334"/>
    <w:rsid w:val="003345D7"/>
    <w:rsid w:val="00335455"/>
    <w:rsid w:val="00335F89"/>
    <w:rsid w:val="003412ED"/>
    <w:rsid w:val="00341585"/>
    <w:rsid w:val="00342938"/>
    <w:rsid w:val="00343F24"/>
    <w:rsid w:val="00344CEE"/>
    <w:rsid w:val="00346879"/>
    <w:rsid w:val="003477DF"/>
    <w:rsid w:val="00350DC8"/>
    <w:rsid w:val="003515A9"/>
    <w:rsid w:val="00351892"/>
    <w:rsid w:val="00351B14"/>
    <w:rsid w:val="00353D56"/>
    <w:rsid w:val="003541EC"/>
    <w:rsid w:val="0035532A"/>
    <w:rsid w:val="003554B8"/>
    <w:rsid w:val="00355575"/>
    <w:rsid w:val="003555BF"/>
    <w:rsid w:val="00355624"/>
    <w:rsid w:val="003559D9"/>
    <w:rsid w:val="003571D6"/>
    <w:rsid w:val="00360E38"/>
    <w:rsid w:val="0036223B"/>
    <w:rsid w:val="0036252A"/>
    <w:rsid w:val="003646BF"/>
    <w:rsid w:val="00364A2E"/>
    <w:rsid w:val="00364B79"/>
    <w:rsid w:val="00364D9D"/>
    <w:rsid w:val="003668AB"/>
    <w:rsid w:val="00366B78"/>
    <w:rsid w:val="00371603"/>
    <w:rsid w:val="003717DA"/>
    <w:rsid w:val="003735B9"/>
    <w:rsid w:val="003737A8"/>
    <w:rsid w:val="00374223"/>
    <w:rsid w:val="0037461E"/>
    <w:rsid w:val="00374748"/>
    <w:rsid w:val="00374F61"/>
    <w:rsid w:val="00375855"/>
    <w:rsid w:val="003803CF"/>
    <w:rsid w:val="00382AE3"/>
    <w:rsid w:val="00383906"/>
    <w:rsid w:val="00383DA1"/>
    <w:rsid w:val="00383E0A"/>
    <w:rsid w:val="0038735D"/>
    <w:rsid w:val="00387E90"/>
    <w:rsid w:val="003912B4"/>
    <w:rsid w:val="0039135A"/>
    <w:rsid w:val="0039160C"/>
    <w:rsid w:val="00392007"/>
    <w:rsid w:val="00394586"/>
    <w:rsid w:val="0039660F"/>
    <w:rsid w:val="0039741E"/>
    <w:rsid w:val="0039744C"/>
    <w:rsid w:val="00397C46"/>
    <w:rsid w:val="003A0565"/>
    <w:rsid w:val="003A06C8"/>
    <w:rsid w:val="003A0D7C"/>
    <w:rsid w:val="003A1E73"/>
    <w:rsid w:val="003A32D7"/>
    <w:rsid w:val="003A3B48"/>
    <w:rsid w:val="003A48C8"/>
    <w:rsid w:val="003A48FD"/>
    <w:rsid w:val="003A65E8"/>
    <w:rsid w:val="003A667A"/>
    <w:rsid w:val="003A66DF"/>
    <w:rsid w:val="003A74F5"/>
    <w:rsid w:val="003A7AFA"/>
    <w:rsid w:val="003A7CA6"/>
    <w:rsid w:val="003B0ADA"/>
    <w:rsid w:val="003B14F5"/>
    <w:rsid w:val="003B40BE"/>
    <w:rsid w:val="003B49D1"/>
    <w:rsid w:val="003B4CB4"/>
    <w:rsid w:val="003B518B"/>
    <w:rsid w:val="003B58E3"/>
    <w:rsid w:val="003B70C4"/>
    <w:rsid w:val="003B7612"/>
    <w:rsid w:val="003B7EE7"/>
    <w:rsid w:val="003C18C0"/>
    <w:rsid w:val="003C289A"/>
    <w:rsid w:val="003C534B"/>
    <w:rsid w:val="003C6ADC"/>
    <w:rsid w:val="003C6B3E"/>
    <w:rsid w:val="003C7467"/>
    <w:rsid w:val="003D1BFE"/>
    <w:rsid w:val="003D1F17"/>
    <w:rsid w:val="003D244F"/>
    <w:rsid w:val="003D2BD5"/>
    <w:rsid w:val="003D39EC"/>
    <w:rsid w:val="003D3E27"/>
    <w:rsid w:val="003D53B3"/>
    <w:rsid w:val="003D5452"/>
    <w:rsid w:val="003D606F"/>
    <w:rsid w:val="003D6943"/>
    <w:rsid w:val="003D78F6"/>
    <w:rsid w:val="003E0D8B"/>
    <w:rsid w:val="003E0DD1"/>
    <w:rsid w:val="003E3DD5"/>
    <w:rsid w:val="003E537A"/>
    <w:rsid w:val="003E55D6"/>
    <w:rsid w:val="003E6FCE"/>
    <w:rsid w:val="003E713E"/>
    <w:rsid w:val="003E7BF8"/>
    <w:rsid w:val="003E7ECF"/>
    <w:rsid w:val="003F0833"/>
    <w:rsid w:val="003F0B8C"/>
    <w:rsid w:val="003F1ECD"/>
    <w:rsid w:val="003F26FC"/>
    <w:rsid w:val="003F350F"/>
    <w:rsid w:val="003F367C"/>
    <w:rsid w:val="003F44B7"/>
    <w:rsid w:val="003F71D3"/>
    <w:rsid w:val="003F75A0"/>
    <w:rsid w:val="00400F1C"/>
    <w:rsid w:val="00402B60"/>
    <w:rsid w:val="0040306E"/>
    <w:rsid w:val="004030D8"/>
    <w:rsid w:val="00404913"/>
    <w:rsid w:val="00404B4E"/>
    <w:rsid w:val="00405BB4"/>
    <w:rsid w:val="004063CB"/>
    <w:rsid w:val="00406AF7"/>
    <w:rsid w:val="004075F2"/>
    <w:rsid w:val="00410B95"/>
    <w:rsid w:val="00410DE8"/>
    <w:rsid w:val="00411100"/>
    <w:rsid w:val="004111DA"/>
    <w:rsid w:val="00413D48"/>
    <w:rsid w:val="00414ACD"/>
    <w:rsid w:val="004209BB"/>
    <w:rsid w:val="004213B0"/>
    <w:rsid w:val="00422948"/>
    <w:rsid w:val="00422A89"/>
    <w:rsid w:val="00422FEE"/>
    <w:rsid w:val="00430CBE"/>
    <w:rsid w:val="00430FC5"/>
    <w:rsid w:val="00434CF8"/>
    <w:rsid w:val="004350DC"/>
    <w:rsid w:val="004374FA"/>
    <w:rsid w:val="00441AC2"/>
    <w:rsid w:val="004425A0"/>
    <w:rsid w:val="00442BCE"/>
    <w:rsid w:val="00442E33"/>
    <w:rsid w:val="00444592"/>
    <w:rsid w:val="00445BF7"/>
    <w:rsid w:val="00445FEE"/>
    <w:rsid w:val="0044678E"/>
    <w:rsid w:val="004469C1"/>
    <w:rsid w:val="00447844"/>
    <w:rsid w:val="00447E60"/>
    <w:rsid w:val="0045061E"/>
    <w:rsid w:val="004510AC"/>
    <w:rsid w:val="0045132F"/>
    <w:rsid w:val="004515E9"/>
    <w:rsid w:val="004520E4"/>
    <w:rsid w:val="004528F1"/>
    <w:rsid w:val="00452BCD"/>
    <w:rsid w:val="00453361"/>
    <w:rsid w:val="00453A1E"/>
    <w:rsid w:val="00453ED1"/>
    <w:rsid w:val="00454A06"/>
    <w:rsid w:val="00454EC1"/>
    <w:rsid w:val="00456A79"/>
    <w:rsid w:val="00456B63"/>
    <w:rsid w:val="00456C9B"/>
    <w:rsid w:val="00456EED"/>
    <w:rsid w:val="004572FC"/>
    <w:rsid w:val="0045767D"/>
    <w:rsid w:val="0046002C"/>
    <w:rsid w:val="00460E7F"/>
    <w:rsid w:val="0046218D"/>
    <w:rsid w:val="0046288D"/>
    <w:rsid w:val="00463659"/>
    <w:rsid w:val="00463FDE"/>
    <w:rsid w:val="0046457D"/>
    <w:rsid w:val="004655AB"/>
    <w:rsid w:val="004659CD"/>
    <w:rsid w:val="00467D2E"/>
    <w:rsid w:val="004706A9"/>
    <w:rsid w:val="00470830"/>
    <w:rsid w:val="0047110A"/>
    <w:rsid w:val="004726E9"/>
    <w:rsid w:val="00473B74"/>
    <w:rsid w:val="00476808"/>
    <w:rsid w:val="00476C91"/>
    <w:rsid w:val="00476E79"/>
    <w:rsid w:val="0048181B"/>
    <w:rsid w:val="004838C3"/>
    <w:rsid w:val="00483F0B"/>
    <w:rsid w:val="00484913"/>
    <w:rsid w:val="00486000"/>
    <w:rsid w:val="004867E2"/>
    <w:rsid w:val="00487527"/>
    <w:rsid w:val="00487C79"/>
    <w:rsid w:val="00491E49"/>
    <w:rsid w:val="00492A5E"/>
    <w:rsid w:val="004956ED"/>
    <w:rsid w:val="00495891"/>
    <w:rsid w:val="00496CB8"/>
    <w:rsid w:val="0049726A"/>
    <w:rsid w:val="00497EA2"/>
    <w:rsid w:val="004A2A85"/>
    <w:rsid w:val="004A5672"/>
    <w:rsid w:val="004A5F55"/>
    <w:rsid w:val="004A7BAF"/>
    <w:rsid w:val="004B02EC"/>
    <w:rsid w:val="004B30C6"/>
    <w:rsid w:val="004B3A80"/>
    <w:rsid w:val="004B3BB8"/>
    <w:rsid w:val="004B5465"/>
    <w:rsid w:val="004B61FF"/>
    <w:rsid w:val="004B68F5"/>
    <w:rsid w:val="004B6C6E"/>
    <w:rsid w:val="004B7506"/>
    <w:rsid w:val="004C0099"/>
    <w:rsid w:val="004C1744"/>
    <w:rsid w:val="004C4242"/>
    <w:rsid w:val="004C4896"/>
    <w:rsid w:val="004C5D8E"/>
    <w:rsid w:val="004C6647"/>
    <w:rsid w:val="004C7E72"/>
    <w:rsid w:val="004C7FE0"/>
    <w:rsid w:val="004D07B2"/>
    <w:rsid w:val="004D106D"/>
    <w:rsid w:val="004D19FE"/>
    <w:rsid w:val="004D1C3B"/>
    <w:rsid w:val="004D2E94"/>
    <w:rsid w:val="004D372F"/>
    <w:rsid w:val="004D403F"/>
    <w:rsid w:val="004D4757"/>
    <w:rsid w:val="004D5643"/>
    <w:rsid w:val="004D6440"/>
    <w:rsid w:val="004E022E"/>
    <w:rsid w:val="004E03AB"/>
    <w:rsid w:val="004E0615"/>
    <w:rsid w:val="004E0BE7"/>
    <w:rsid w:val="004E130B"/>
    <w:rsid w:val="004E13BE"/>
    <w:rsid w:val="004E271E"/>
    <w:rsid w:val="004E32F0"/>
    <w:rsid w:val="004E3AEF"/>
    <w:rsid w:val="004E4EE9"/>
    <w:rsid w:val="004E504C"/>
    <w:rsid w:val="004E60C0"/>
    <w:rsid w:val="004E66B2"/>
    <w:rsid w:val="004E7715"/>
    <w:rsid w:val="004F252B"/>
    <w:rsid w:val="004F391C"/>
    <w:rsid w:val="004F3C83"/>
    <w:rsid w:val="004F4285"/>
    <w:rsid w:val="004F476C"/>
    <w:rsid w:val="004F5098"/>
    <w:rsid w:val="004F5685"/>
    <w:rsid w:val="004F5F81"/>
    <w:rsid w:val="004F5F8E"/>
    <w:rsid w:val="004F680B"/>
    <w:rsid w:val="004F6950"/>
    <w:rsid w:val="005010A1"/>
    <w:rsid w:val="00502AAD"/>
    <w:rsid w:val="00502AF4"/>
    <w:rsid w:val="005046E0"/>
    <w:rsid w:val="00504887"/>
    <w:rsid w:val="00504EC6"/>
    <w:rsid w:val="005059B4"/>
    <w:rsid w:val="00505E80"/>
    <w:rsid w:val="00506381"/>
    <w:rsid w:val="005068DC"/>
    <w:rsid w:val="00507B8D"/>
    <w:rsid w:val="00510633"/>
    <w:rsid w:val="00512A53"/>
    <w:rsid w:val="00513024"/>
    <w:rsid w:val="00513D8E"/>
    <w:rsid w:val="00514729"/>
    <w:rsid w:val="005150FC"/>
    <w:rsid w:val="00515A67"/>
    <w:rsid w:val="00516022"/>
    <w:rsid w:val="0051620E"/>
    <w:rsid w:val="005166D1"/>
    <w:rsid w:val="00516F81"/>
    <w:rsid w:val="00517FD4"/>
    <w:rsid w:val="00521CEE"/>
    <w:rsid w:val="00522432"/>
    <w:rsid w:val="005226F5"/>
    <w:rsid w:val="00523F8B"/>
    <w:rsid w:val="00524D65"/>
    <w:rsid w:val="00526E66"/>
    <w:rsid w:val="00526EC4"/>
    <w:rsid w:val="005274A2"/>
    <w:rsid w:val="00527966"/>
    <w:rsid w:val="00527BAE"/>
    <w:rsid w:val="00530233"/>
    <w:rsid w:val="00532172"/>
    <w:rsid w:val="005323FD"/>
    <w:rsid w:val="00532596"/>
    <w:rsid w:val="0053369E"/>
    <w:rsid w:val="00533C4D"/>
    <w:rsid w:val="00534880"/>
    <w:rsid w:val="00535B00"/>
    <w:rsid w:val="005376BB"/>
    <w:rsid w:val="0053789D"/>
    <w:rsid w:val="00537DB3"/>
    <w:rsid w:val="00541457"/>
    <w:rsid w:val="005415F2"/>
    <w:rsid w:val="00544472"/>
    <w:rsid w:val="005452CC"/>
    <w:rsid w:val="005466EF"/>
    <w:rsid w:val="005469CE"/>
    <w:rsid w:val="005477C5"/>
    <w:rsid w:val="00547CB3"/>
    <w:rsid w:val="005505A1"/>
    <w:rsid w:val="005506A2"/>
    <w:rsid w:val="005530A7"/>
    <w:rsid w:val="005546E2"/>
    <w:rsid w:val="00554727"/>
    <w:rsid w:val="005553AD"/>
    <w:rsid w:val="005557A8"/>
    <w:rsid w:val="00556D2C"/>
    <w:rsid w:val="00557367"/>
    <w:rsid w:val="0055776D"/>
    <w:rsid w:val="005624A7"/>
    <w:rsid w:val="00562ED1"/>
    <w:rsid w:val="005641C4"/>
    <w:rsid w:val="0056454C"/>
    <w:rsid w:val="005652E2"/>
    <w:rsid w:val="00573041"/>
    <w:rsid w:val="0057402A"/>
    <w:rsid w:val="005749A5"/>
    <w:rsid w:val="0057732A"/>
    <w:rsid w:val="00582942"/>
    <w:rsid w:val="00582E3C"/>
    <w:rsid w:val="00582EDB"/>
    <w:rsid w:val="00584568"/>
    <w:rsid w:val="00584C86"/>
    <w:rsid w:val="005869DA"/>
    <w:rsid w:val="005870F8"/>
    <w:rsid w:val="00587797"/>
    <w:rsid w:val="00587BC1"/>
    <w:rsid w:val="005903FB"/>
    <w:rsid w:val="00590787"/>
    <w:rsid w:val="00590A4E"/>
    <w:rsid w:val="00591BFD"/>
    <w:rsid w:val="00593255"/>
    <w:rsid w:val="005936CB"/>
    <w:rsid w:val="00593B69"/>
    <w:rsid w:val="005943F9"/>
    <w:rsid w:val="005950CA"/>
    <w:rsid w:val="0059530B"/>
    <w:rsid w:val="0059680A"/>
    <w:rsid w:val="005968D8"/>
    <w:rsid w:val="00597477"/>
    <w:rsid w:val="005A03A3"/>
    <w:rsid w:val="005A16B1"/>
    <w:rsid w:val="005A1D89"/>
    <w:rsid w:val="005A463A"/>
    <w:rsid w:val="005A69DB"/>
    <w:rsid w:val="005A6ADB"/>
    <w:rsid w:val="005A79E3"/>
    <w:rsid w:val="005B091B"/>
    <w:rsid w:val="005B0ADD"/>
    <w:rsid w:val="005B282C"/>
    <w:rsid w:val="005B36E0"/>
    <w:rsid w:val="005B4F97"/>
    <w:rsid w:val="005B6450"/>
    <w:rsid w:val="005B6A16"/>
    <w:rsid w:val="005B7105"/>
    <w:rsid w:val="005B745D"/>
    <w:rsid w:val="005B77E3"/>
    <w:rsid w:val="005C164B"/>
    <w:rsid w:val="005C1A3A"/>
    <w:rsid w:val="005C22DD"/>
    <w:rsid w:val="005C3FE0"/>
    <w:rsid w:val="005C400C"/>
    <w:rsid w:val="005C4A83"/>
    <w:rsid w:val="005C4B06"/>
    <w:rsid w:val="005C676F"/>
    <w:rsid w:val="005C7308"/>
    <w:rsid w:val="005C740C"/>
    <w:rsid w:val="005C79BA"/>
    <w:rsid w:val="005D0300"/>
    <w:rsid w:val="005D063A"/>
    <w:rsid w:val="005D1E27"/>
    <w:rsid w:val="005D3322"/>
    <w:rsid w:val="005D403A"/>
    <w:rsid w:val="005D6886"/>
    <w:rsid w:val="005D6B97"/>
    <w:rsid w:val="005E17A4"/>
    <w:rsid w:val="005E1D00"/>
    <w:rsid w:val="005E25D4"/>
    <w:rsid w:val="005E438A"/>
    <w:rsid w:val="005E6236"/>
    <w:rsid w:val="005E72EE"/>
    <w:rsid w:val="005E7C50"/>
    <w:rsid w:val="005E7CF7"/>
    <w:rsid w:val="005F03A7"/>
    <w:rsid w:val="005F0E31"/>
    <w:rsid w:val="005F1893"/>
    <w:rsid w:val="005F23DB"/>
    <w:rsid w:val="005F2F08"/>
    <w:rsid w:val="005F3C85"/>
    <w:rsid w:val="005F3FB6"/>
    <w:rsid w:val="005F431D"/>
    <w:rsid w:val="005F4DA8"/>
    <w:rsid w:val="005F4FE7"/>
    <w:rsid w:val="005F55C9"/>
    <w:rsid w:val="00600777"/>
    <w:rsid w:val="00601345"/>
    <w:rsid w:val="0060167A"/>
    <w:rsid w:val="00602145"/>
    <w:rsid w:val="006029DC"/>
    <w:rsid w:val="00604859"/>
    <w:rsid w:val="006048F4"/>
    <w:rsid w:val="00604F46"/>
    <w:rsid w:val="0060645A"/>
    <w:rsid w:val="006064E1"/>
    <w:rsid w:val="0060660A"/>
    <w:rsid w:val="00610AAA"/>
    <w:rsid w:val="00611CB0"/>
    <w:rsid w:val="006121DF"/>
    <w:rsid w:val="00612294"/>
    <w:rsid w:val="006123B1"/>
    <w:rsid w:val="0061255C"/>
    <w:rsid w:val="00613D07"/>
    <w:rsid w:val="006144B7"/>
    <w:rsid w:val="0061509D"/>
    <w:rsid w:val="006154C6"/>
    <w:rsid w:val="00615DAA"/>
    <w:rsid w:val="00617313"/>
    <w:rsid w:val="006173C4"/>
    <w:rsid w:val="00617A44"/>
    <w:rsid w:val="006210A3"/>
    <w:rsid w:val="00621767"/>
    <w:rsid w:val="00625CD0"/>
    <w:rsid w:val="00625EB1"/>
    <w:rsid w:val="006271BD"/>
    <w:rsid w:val="006316B8"/>
    <w:rsid w:val="00631889"/>
    <w:rsid w:val="00632896"/>
    <w:rsid w:val="006329A1"/>
    <w:rsid w:val="00633D2B"/>
    <w:rsid w:val="00633F3A"/>
    <w:rsid w:val="00634A3C"/>
    <w:rsid w:val="00635082"/>
    <w:rsid w:val="00635DE3"/>
    <w:rsid w:val="00636AEB"/>
    <w:rsid w:val="00636AFD"/>
    <w:rsid w:val="006375B8"/>
    <w:rsid w:val="00641109"/>
    <w:rsid w:val="00643ED9"/>
    <w:rsid w:val="00645EC4"/>
    <w:rsid w:val="00645FF5"/>
    <w:rsid w:val="006466D3"/>
    <w:rsid w:val="006469F6"/>
    <w:rsid w:val="00646E47"/>
    <w:rsid w:val="0064786D"/>
    <w:rsid w:val="0065074D"/>
    <w:rsid w:val="00651441"/>
    <w:rsid w:val="00651DC0"/>
    <w:rsid w:val="006522A0"/>
    <w:rsid w:val="0065281C"/>
    <w:rsid w:val="00652BB6"/>
    <w:rsid w:val="0065339B"/>
    <w:rsid w:val="00656084"/>
    <w:rsid w:val="006565D2"/>
    <w:rsid w:val="006569DB"/>
    <w:rsid w:val="00656C96"/>
    <w:rsid w:val="00657247"/>
    <w:rsid w:val="006614C4"/>
    <w:rsid w:val="00661591"/>
    <w:rsid w:val="00662125"/>
    <w:rsid w:val="00663E9A"/>
    <w:rsid w:val="006658B2"/>
    <w:rsid w:val="0066632F"/>
    <w:rsid w:val="006665E1"/>
    <w:rsid w:val="00667BAB"/>
    <w:rsid w:val="0067057E"/>
    <w:rsid w:val="00670DD3"/>
    <w:rsid w:val="006711DA"/>
    <w:rsid w:val="0067329B"/>
    <w:rsid w:val="00674C14"/>
    <w:rsid w:val="0068182A"/>
    <w:rsid w:val="00681B2D"/>
    <w:rsid w:val="00681F42"/>
    <w:rsid w:val="00682DF4"/>
    <w:rsid w:val="00687998"/>
    <w:rsid w:val="0069047B"/>
    <w:rsid w:val="00690DCA"/>
    <w:rsid w:val="00691046"/>
    <w:rsid w:val="00692E7B"/>
    <w:rsid w:val="0069317D"/>
    <w:rsid w:val="00693638"/>
    <w:rsid w:val="006956A1"/>
    <w:rsid w:val="00695F27"/>
    <w:rsid w:val="0069650E"/>
    <w:rsid w:val="0069702B"/>
    <w:rsid w:val="006A1610"/>
    <w:rsid w:val="006A3362"/>
    <w:rsid w:val="006A4656"/>
    <w:rsid w:val="006A4DB5"/>
    <w:rsid w:val="006A52D6"/>
    <w:rsid w:val="006A670C"/>
    <w:rsid w:val="006A6FA2"/>
    <w:rsid w:val="006A73B3"/>
    <w:rsid w:val="006A78DD"/>
    <w:rsid w:val="006B021E"/>
    <w:rsid w:val="006B03AF"/>
    <w:rsid w:val="006B0D67"/>
    <w:rsid w:val="006B13C7"/>
    <w:rsid w:val="006B2292"/>
    <w:rsid w:val="006B2CF2"/>
    <w:rsid w:val="006B2F1F"/>
    <w:rsid w:val="006B329D"/>
    <w:rsid w:val="006B3A5E"/>
    <w:rsid w:val="006B4DD9"/>
    <w:rsid w:val="006B6C2F"/>
    <w:rsid w:val="006C114E"/>
    <w:rsid w:val="006C1EB0"/>
    <w:rsid w:val="006C2535"/>
    <w:rsid w:val="006C2B4C"/>
    <w:rsid w:val="006C36D6"/>
    <w:rsid w:val="006C3A41"/>
    <w:rsid w:val="006C5413"/>
    <w:rsid w:val="006C65A1"/>
    <w:rsid w:val="006C6C62"/>
    <w:rsid w:val="006C6FCB"/>
    <w:rsid w:val="006C7CA9"/>
    <w:rsid w:val="006D147C"/>
    <w:rsid w:val="006D1893"/>
    <w:rsid w:val="006D3256"/>
    <w:rsid w:val="006D4B0D"/>
    <w:rsid w:val="006D5DC2"/>
    <w:rsid w:val="006D60B4"/>
    <w:rsid w:val="006D75E1"/>
    <w:rsid w:val="006D7F64"/>
    <w:rsid w:val="006E263E"/>
    <w:rsid w:val="006E2F73"/>
    <w:rsid w:val="006E3417"/>
    <w:rsid w:val="006E3546"/>
    <w:rsid w:val="006E365A"/>
    <w:rsid w:val="006E38C3"/>
    <w:rsid w:val="006E4D97"/>
    <w:rsid w:val="006E5A17"/>
    <w:rsid w:val="006E7216"/>
    <w:rsid w:val="006F0F93"/>
    <w:rsid w:val="006F17B6"/>
    <w:rsid w:val="006F31F1"/>
    <w:rsid w:val="006F35FA"/>
    <w:rsid w:val="006F5275"/>
    <w:rsid w:val="006F5E04"/>
    <w:rsid w:val="006F7A7A"/>
    <w:rsid w:val="00703AEF"/>
    <w:rsid w:val="00704CCA"/>
    <w:rsid w:val="0070543F"/>
    <w:rsid w:val="00705BC0"/>
    <w:rsid w:val="00705C87"/>
    <w:rsid w:val="00707E10"/>
    <w:rsid w:val="00707EA6"/>
    <w:rsid w:val="00710978"/>
    <w:rsid w:val="0071107A"/>
    <w:rsid w:val="00712A63"/>
    <w:rsid w:val="00713044"/>
    <w:rsid w:val="00713F74"/>
    <w:rsid w:val="007146F0"/>
    <w:rsid w:val="00714C30"/>
    <w:rsid w:val="00714E79"/>
    <w:rsid w:val="00714FEE"/>
    <w:rsid w:val="00715237"/>
    <w:rsid w:val="00715AA3"/>
    <w:rsid w:val="00715F39"/>
    <w:rsid w:val="00716F76"/>
    <w:rsid w:val="00720573"/>
    <w:rsid w:val="0072120E"/>
    <w:rsid w:val="00722293"/>
    <w:rsid w:val="0072245C"/>
    <w:rsid w:val="00722F4B"/>
    <w:rsid w:val="007230FA"/>
    <w:rsid w:val="00724101"/>
    <w:rsid w:val="007250F0"/>
    <w:rsid w:val="007254A5"/>
    <w:rsid w:val="00725748"/>
    <w:rsid w:val="00726E27"/>
    <w:rsid w:val="00730D14"/>
    <w:rsid w:val="007312E8"/>
    <w:rsid w:val="00734374"/>
    <w:rsid w:val="00735496"/>
    <w:rsid w:val="007358B2"/>
    <w:rsid w:val="00736D0D"/>
    <w:rsid w:val="0073720D"/>
    <w:rsid w:val="007402E0"/>
    <w:rsid w:val="007418AE"/>
    <w:rsid w:val="00742AB9"/>
    <w:rsid w:val="00743337"/>
    <w:rsid w:val="00745016"/>
    <w:rsid w:val="00746658"/>
    <w:rsid w:val="00750A91"/>
    <w:rsid w:val="00751CF9"/>
    <w:rsid w:val="0075229F"/>
    <w:rsid w:val="0075240B"/>
    <w:rsid w:val="007525F2"/>
    <w:rsid w:val="0075368B"/>
    <w:rsid w:val="00754176"/>
    <w:rsid w:val="00754666"/>
    <w:rsid w:val="00754FBF"/>
    <w:rsid w:val="00755248"/>
    <w:rsid w:val="00755DB8"/>
    <w:rsid w:val="00756754"/>
    <w:rsid w:val="00756F34"/>
    <w:rsid w:val="00757005"/>
    <w:rsid w:val="0076016D"/>
    <w:rsid w:val="007606CE"/>
    <w:rsid w:val="00760C95"/>
    <w:rsid w:val="00763BB2"/>
    <w:rsid w:val="0077029E"/>
    <w:rsid w:val="0077048E"/>
    <w:rsid w:val="00770864"/>
    <w:rsid w:val="007724AB"/>
    <w:rsid w:val="00772734"/>
    <w:rsid w:val="0077413D"/>
    <w:rsid w:val="00774B22"/>
    <w:rsid w:val="007750CC"/>
    <w:rsid w:val="00775344"/>
    <w:rsid w:val="00775D8A"/>
    <w:rsid w:val="0077737C"/>
    <w:rsid w:val="007777DF"/>
    <w:rsid w:val="00780B06"/>
    <w:rsid w:val="00781BE3"/>
    <w:rsid w:val="00781CED"/>
    <w:rsid w:val="00782555"/>
    <w:rsid w:val="00782603"/>
    <w:rsid w:val="007831C7"/>
    <w:rsid w:val="00783559"/>
    <w:rsid w:val="00783B2B"/>
    <w:rsid w:val="0078554C"/>
    <w:rsid w:val="00785F18"/>
    <w:rsid w:val="00786645"/>
    <w:rsid w:val="00786698"/>
    <w:rsid w:val="0079029D"/>
    <w:rsid w:val="007902A5"/>
    <w:rsid w:val="00792AB2"/>
    <w:rsid w:val="00795CE1"/>
    <w:rsid w:val="0079694F"/>
    <w:rsid w:val="00797D4F"/>
    <w:rsid w:val="007A34E8"/>
    <w:rsid w:val="007A3BEE"/>
    <w:rsid w:val="007A4105"/>
    <w:rsid w:val="007A474C"/>
    <w:rsid w:val="007B0280"/>
    <w:rsid w:val="007B163C"/>
    <w:rsid w:val="007B242A"/>
    <w:rsid w:val="007B2BC2"/>
    <w:rsid w:val="007B2D07"/>
    <w:rsid w:val="007B54BC"/>
    <w:rsid w:val="007B6542"/>
    <w:rsid w:val="007B6DB3"/>
    <w:rsid w:val="007B6E9D"/>
    <w:rsid w:val="007B7BB5"/>
    <w:rsid w:val="007C0CE8"/>
    <w:rsid w:val="007C3458"/>
    <w:rsid w:val="007C406E"/>
    <w:rsid w:val="007C4B71"/>
    <w:rsid w:val="007C66A9"/>
    <w:rsid w:val="007C7F09"/>
    <w:rsid w:val="007D08AB"/>
    <w:rsid w:val="007D0AC3"/>
    <w:rsid w:val="007D25B4"/>
    <w:rsid w:val="007D2C22"/>
    <w:rsid w:val="007D5658"/>
    <w:rsid w:val="007D6565"/>
    <w:rsid w:val="007E1149"/>
    <w:rsid w:val="007E22C7"/>
    <w:rsid w:val="007E274F"/>
    <w:rsid w:val="007E2C0D"/>
    <w:rsid w:val="007E33F7"/>
    <w:rsid w:val="007E435C"/>
    <w:rsid w:val="007E5FB6"/>
    <w:rsid w:val="007E6BE6"/>
    <w:rsid w:val="007F100C"/>
    <w:rsid w:val="007F1982"/>
    <w:rsid w:val="007F236A"/>
    <w:rsid w:val="007F2D82"/>
    <w:rsid w:val="007F428E"/>
    <w:rsid w:val="007F4E98"/>
    <w:rsid w:val="007F6EBA"/>
    <w:rsid w:val="007F74ED"/>
    <w:rsid w:val="0080069E"/>
    <w:rsid w:val="0080096E"/>
    <w:rsid w:val="00802EEB"/>
    <w:rsid w:val="0080352B"/>
    <w:rsid w:val="008050E6"/>
    <w:rsid w:val="00806B95"/>
    <w:rsid w:val="00807805"/>
    <w:rsid w:val="00810CFA"/>
    <w:rsid w:val="00811392"/>
    <w:rsid w:val="00811954"/>
    <w:rsid w:val="00812028"/>
    <w:rsid w:val="00812598"/>
    <w:rsid w:val="00814D03"/>
    <w:rsid w:val="0081537D"/>
    <w:rsid w:val="00816074"/>
    <w:rsid w:val="00816CAA"/>
    <w:rsid w:val="008205E2"/>
    <w:rsid w:val="00820F4D"/>
    <w:rsid w:val="00824629"/>
    <w:rsid w:val="00831711"/>
    <w:rsid w:val="0083178B"/>
    <w:rsid w:val="0083221A"/>
    <w:rsid w:val="00833695"/>
    <w:rsid w:val="00834E81"/>
    <w:rsid w:val="00834F99"/>
    <w:rsid w:val="008364EF"/>
    <w:rsid w:val="00837795"/>
    <w:rsid w:val="0083788B"/>
    <w:rsid w:val="00837C66"/>
    <w:rsid w:val="008407B5"/>
    <w:rsid w:val="008409AE"/>
    <w:rsid w:val="00842A21"/>
    <w:rsid w:val="00842CD8"/>
    <w:rsid w:val="008435CC"/>
    <w:rsid w:val="008438CD"/>
    <w:rsid w:val="008500F3"/>
    <w:rsid w:val="00850B01"/>
    <w:rsid w:val="008517DE"/>
    <w:rsid w:val="00851BC3"/>
    <w:rsid w:val="008520D8"/>
    <w:rsid w:val="008525B2"/>
    <w:rsid w:val="008530B2"/>
    <w:rsid w:val="0085341C"/>
    <w:rsid w:val="00854039"/>
    <w:rsid w:val="00854091"/>
    <w:rsid w:val="008553C7"/>
    <w:rsid w:val="00856F94"/>
    <w:rsid w:val="00857770"/>
    <w:rsid w:val="00857FEB"/>
    <w:rsid w:val="00860B95"/>
    <w:rsid w:val="008616E0"/>
    <w:rsid w:val="00862050"/>
    <w:rsid w:val="008624AD"/>
    <w:rsid w:val="008624F0"/>
    <w:rsid w:val="008646B0"/>
    <w:rsid w:val="00864A2E"/>
    <w:rsid w:val="00864B45"/>
    <w:rsid w:val="00865144"/>
    <w:rsid w:val="008666D2"/>
    <w:rsid w:val="00870A85"/>
    <w:rsid w:val="00871B05"/>
    <w:rsid w:val="008720EB"/>
    <w:rsid w:val="008735BA"/>
    <w:rsid w:val="00873E5C"/>
    <w:rsid w:val="008753FC"/>
    <w:rsid w:val="00876C92"/>
    <w:rsid w:val="0087723A"/>
    <w:rsid w:val="008777AA"/>
    <w:rsid w:val="008802A6"/>
    <w:rsid w:val="00880A18"/>
    <w:rsid w:val="008812FB"/>
    <w:rsid w:val="00882814"/>
    <w:rsid w:val="00882A19"/>
    <w:rsid w:val="00886E97"/>
    <w:rsid w:val="008875CC"/>
    <w:rsid w:val="00891692"/>
    <w:rsid w:val="00892002"/>
    <w:rsid w:val="0089341F"/>
    <w:rsid w:val="008934AE"/>
    <w:rsid w:val="008934E6"/>
    <w:rsid w:val="0089663F"/>
    <w:rsid w:val="0089679F"/>
    <w:rsid w:val="008A0FBB"/>
    <w:rsid w:val="008A13B1"/>
    <w:rsid w:val="008A46A9"/>
    <w:rsid w:val="008A5A3F"/>
    <w:rsid w:val="008A646F"/>
    <w:rsid w:val="008A702B"/>
    <w:rsid w:val="008A7174"/>
    <w:rsid w:val="008B1BE5"/>
    <w:rsid w:val="008B2CA5"/>
    <w:rsid w:val="008B362A"/>
    <w:rsid w:val="008B378C"/>
    <w:rsid w:val="008B3929"/>
    <w:rsid w:val="008B3C2F"/>
    <w:rsid w:val="008B4118"/>
    <w:rsid w:val="008B4208"/>
    <w:rsid w:val="008B43DE"/>
    <w:rsid w:val="008B45D6"/>
    <w:rsid w:val="008B4CB3"/>
    <w:rsid w:val="008B54B2"/>
    <w:rsid w:val="008B58FA"/>
    <w:rsid w:val="008B639D"/>
    <w:rsid w:val="008B720C"/>
    <w:rsid w:val="008B731A"/>
    <w:rsid w:val="008C2425"/>
    <w:rsid w:val="008C2444"/>
    <w:rsid w:val="008C3F57"/>
    <w:rsid w:val="008C46FD"/>
    <w:rsid w:val="008C5B1C"/>
    <w:rsid w:val="008C6626"/>
    <w:rsid w:val="008C67AF"/>
    <w:rsid w:val="008C78FD"/>
    <w:rsid w:val="008D0EBE"/>
    <w:rsid w:val="008D2355"/>
    <w:rsid w:val="008D2FA9"/>
    <w:rsid w:val="008D358F"/>
    <w:rsid w:val="008D3CEA"/>
    <w:rsid w:val="008D43B0"/>
    <w:rsid w:val="008D512C"/>
    <w:rsid w:val="008D523B"/>
    <w:rsid w:val="008D57D1"/>
    <w:rsid w:val="008D5B01"/>
    <w:rsid w:val="008D64AA"/>
    <w:rsid w:val="008D77A2"/>
    <w:rsid w:val="008E0DE7"/>
    <w:rsid w:val="008E22BC"/>
    <w:rsid w:val="008E29B4"/>
    <w:rsid w:val="008E3432"/>
    <w:rsid w:val="008E35E2"/>
    <w:rsid w:val="008E5BA2"/>
    <w:rsid w:val="008E5F59"/>
    <w:rsid w:val="008E7AC3"/>
    <w:rsid w:val="008F0C84"/>
    <w:rsid w:val="008F1669"/>
    <w:rsid w:val="008F1AEF"/>
    <w:rsid w:val="008F1B70"/>
    <w:rsid w:val="008F2143"/>
    <w:rsid w:val="008F4A8D"/>
    <w:rsid w:val="008F50BD"/>
    <w:rsid w:val="00900C34"/>
    <w:rsid w:val="00901121"/>
    <w:rsid w:val="00901DEF"/>
    <w:rsid w:val="00901F70"/>
    <w:rsid w:val="00902FF2"/>
    <w:rsid w:val="00903B67"/>
    <w:rsid w:val="0090405C"/>
    <w:rsid w:val="00904438"/>
    <w:rsid w:val="00904A2A"/>
    <w:rsid w:val="00905B6D"/>
    <w:rsid w:val="0090647C"/>
    <w:rsid w:val="0090651A"/>
    <w:rsid w:val="0091000A"/>
    <w:rsid w:val="00910642"/>
    <w:rsid w:val="00914286"/>
    <w:rsid w:val="00914446"/>
    <w:rsid w:val="00915B3B"/>
    <w:rsid w:val="009160BB"/>
    <w:rsid w:val="009166AD"/>
    <w:rsid w:val="00917821"/>
    <w:rsid w:val="00917BAC"/>
    <w:rsid w:val="00921A22"/>
    <w:rsid w:val="009231D0"/>
    <w:rsid w:val="00927293"/>
    <w:rsid w:val="009311C8"/>
    <w:rsid w:val="00933376"/>
    <w:rsid w:val="009336FC"/>
    <w:rsid w:val="00934CA9"/>
    <w:rsid w:val="00935670"/>
    <w:rsid w:val="009370C7"/>
    <w:rsid w:val="00937CE6"/>
    <w:rsid w:val="00937D89"/>
    <w:rsid w:val="00940C5F"/>
    <w:rsid w:val="00942355"/>
    <w:rsid w:val="00943A11"/>
    <w:rsid w:val="00943F25"/>
    <w:rsid w:val="00944F01"/>
    <w:rsid w:val="00945691"/>
    <w:rsid w:val="00946D29"/>
    <w:rsid w:val="0094729E"/>
    <w:rsid w:val="00947E44"/>
    <w:rsid w:val="0095050D"/>
    <w:rsid w:val="009513C2"/>
    <w:rsid w:val="0095259F"/>
    <w:rsid w:val="00952E9B"/>
    <w:rsid w:val="009534EF"/>
    <w:rsid w:val="0095352B"/>
    <w:rsid w:val="00953CFA"/>
    <w:rsid w:val="00955A7F"/>
    <w:rsid w:val="0095748C"/>
    <w:rsid w:val="0096045E"/>
    <w:rsid w:val="0096077C"/>
    <w:rsid w:val="0096143B"/>
    <w:rsid w:val="00961C28"/>
    <w:rsid w:val="00961FA7"/>
    <w:rsid w:val="009627A5"/>
    <w:rsid w:val="00962C56"/>
    <w:rsid w:val="00963096"/>
    <w:rsid w:val="009631A8"/>
    <w:rsid w:val="00964BBF"/>
    <w:rsid w:val="00964F30"/>
    <w:rsid w:val="00964F7E"/>
    <w:rsid w:val="009658FF"/>
    <w:rsid w:val="00965FD5"/>
    <w:rsid w:val="00966616"/>
    <w:rsid w:val="009668DE"/>
    <w:rsid w:val="00967346"/>
    <w:rsid w:val="00970126"/>
    <w:rsid w:val="009711D9"/>
    <w:rsid w:val="009718F9"/>
    <w:rsid w:val="00973E99"/>
    <w:rsid w:val="00973FE2"/>
    <w:rsid w:val="00975112"/>
    <w:rsid w:val="00975202"/>
    <w:rsid w:val="009753D7"/>
    <w:rsid w:val="00977002"/>
    <w:rsid w:val="009774C4"/>
    <w:rsid w:val="009811DF"/>
    <w:rsid w:val="0098187E"/>
    <w:rsid w:val="00982B90"/>
    <w:rsid w:val="00982E82"/>
    <w:rsid w:val="00983333"/>
    <w:rsid w:val="00983A7C"/>
    <w:rsid w:val="00984D7B"/>
    <w:rsid w:val="00985BA9"/>
    <w:rsid w:val="009867D7"/>
    <w:rsid w:val="00987F13"/>
    <w:rsid w:val="00991B5F"/>
    <w:rsid w:val="00991C2E"/>
    <w:rsid w:val="009923AC"/>
    <w:rsid w:val="00995D5E"/>
    <w:rsid w:val="00997999"/>
    <w:rsid w:val="009A0FF6"/>
    <w:rsid w:val="009A15FA"/>
    <w:rsid w:val="009A342B"/>
    <w:rsid w:val="009A3B71"/>
    <w:rsid w:val="009A3CA0"/>
    <w:rsid w:val="009A513F"/>
    <w:rsid w:val="009A542C"/>
    <w:rsid w:val="009A61BC"/>
    <w:rsid w:val="009A6527"/>
    <w:rsid w:val="009A676D"/>
    <w:rsid w:val="009A727A"/>
    <w:rsid w:val="009B139F"/>
    <w:rsid w:val="009B1466"/>
    <w:rsid w:val="009B23D3"/>
    <w:rsid w:val="009B24B7"/>
    <w:rsid w:val="009B41E7"/>
    <w:rsid w:val="009B424D"/>
    <w:rsid w:val="009B57FB"/>
    <w:rsid w:val="009B70CE"/>
    <w:rsid w:val="009B7709"/>
    <w:rsid w:val="009B7818"/>
    <w:rsid w:val="009C135E"/>
    <w:rsid w:val="009C1AC6"/>
    <w:rsid w:val="009C1C75"/>
    <w:rsid w:val="009C33A4"/>
    <w:rsid w:val="009C37AE"/>
    <w:rsid w:val="009C42BC"/>
    <w:rsid w:val="009C4579"/>
    <w:rsid w:val="009C4AAC"/>
    <w:rsid w:val="009C4F04"/>
    <w:rsid w:val="009C692B"/>
    <w:rsid w:val="009C6B63"/>
    <w:rsid w:val="009D277F"/>
    <w:rsid w:val="009D4EF3"/>
    <w:rsid w:val="009D63B2"/>
    <w:rsid w:val="009D7098"/>
    <w:rsid w:val="009D7120"/>
    <w:rsid w:val="009D7DFA"/>
    <w:rsid w:val="009E042D"/>
    <w:rsid w:val="009E1B8B"/>
    <w:rsid w:val="009E37E6"/>
    <w:rsid w:val="009E51C4"/>
    <w:rsid w:val="009E584D"/>
    <w:rsid w:val="009E6427"/>
    <w:rsid w:val="009E71C1"/>
    <w:rsid w:val="009E7FE1"/>
    <w:rsid w:val="009F240C"/>
    <w:rsid w:val="009F3851"/>
    <w:rsid w:val="009F54C2"/>
    <w:rsid w:val="00A00A92"/>
    <w:rsid w:val="00A01F4D"/>
    <w:rsid w:val="00A02980"/>
    <w:rsid w:val="00A04081"/>
    <w:rsid w:val="00A043B4"/>
    <w:rsid w:val="00A04DC0"/>
    <w:rsid w:val="00A06827"/>
    <w:rsid w:val="00A06B5C"/>
    <w:rsid w:val="00A07737"/>
    <w:rsid w:val="00A07C4D"/>
    <w:rsid w:val="00A07D00"/>
    <w:rsid w:val="00A10614"/>
    <w:rsid w:val="00A10E98"/>
    <w:rsid w:val="00A11768"/>
    <w:rsid w:val="00A11D48"/>
    <w:rsid w:val="00A12458"/>
    <w:rsid w:val="00A12A95"/>
    <w:rsid w:val="00A13499"/>
    <w:rsid w:val="00A140D0"/>
    <w:rsid w:val="00A149C1"/>
    <w:rsid w:val="00A14A93"/>
    <w:rsid w:val="00A165E1"/>
    <w:rsid w:val="00A167EA"/>
    <w:rsid w:val="00A16C44"/>
    <w:rsid w:val="00A2172A"/>
    <w:rsid w:val="00A218CD"/>
    <w:rsid w:val="00A21A93"/>
    <w:rsid w:val="00A21B3B"/>
    <w:rsid w:val="00A224FD"/>
    <w:rsid w:val="00A22E62"/>
    <w:rsid w:val="00A240DA"/>
    <w:rsid w:val="00A2455B"/>
    <w:rsid w:val="00A245B7"/>
    <w:rsid w:val="00A246BF"/>
    <w:rsid w:val="00A25677"/>
    <w:rsid w:val="00A25B4A"/>
    <w:rsid w:val="00A27328"/>
    <w:rsid w:val="00A277F9"/>
    <w:rsid w:val="00A30E68"/>
    <w:rsid w:val="00A31885"/>
    <w:rsid w:val="00A33763"/>
    <w:rsid w:val="00A34AA0"/>
    <w:rsid w:val="00A35B30"/>
    <w:rsid w:val="00A35BEC"/>
    <w:rsid w:val="00A3722D"/>
    <w:rsid w:val="00A373C4"/>
    <w:rsid w:val="00A377DF"/>
    <w:rsid w:val="00A37B8E"/>
    <w:rsid w:val="00A41EFC"/>
    <w:rsid w:val="00A42B5D"/>
    <w:rsid w:val="00A4371E"/>
    <w:rsid w:val="00A47733"/>
    <w:rsid w:val="00A47A2A"/>
    <w:rsid w:val="00A511CD"/>
    <w:rsid w:val="00A531C0"/>
    <w:rsid w:val="00A551E6"/>
    <w:rsid w:val="00A55779"/>
    <w:rsid w:val="00A5645A"/>
    <w:rsid w:val="00A56946"/>
    <w:rsid w:val="00A578D8"/>
    <w:rsid w:val="00A61759"/>
    <w:rsid w:val="00A63889"/>
    <w:rsid w:val="00A6421B"/>
    <w:rsid w:val="00A64324"/>
    <w:rsid w:val="00A64A23"/>
    <w:rsid w:val="00A65201"/>
    <w:rsid w:val="00A65FF9"/>
    <w:rsid w:val="00A67C1D"/>
    <w:rsid w:val="00A7037D"/>
    <w:rsid w:val="00A70E93"/>
    <w:rsid w:val="00A717EC"/>
    <w:rsid w:val="00A71A15"/>
    <w:rsid w:val="00A71D09"/>
    <w:rsid w:val="00A73AAD"/>
    <w:rsid w:val="00A7463E"/>
    <w:rsid w:val="00A747CF"/>
    <w:rsid w:val="00A74DEC"/>
    <w:rsid w:val="00A76D10"/>
    <w:rsid w:val="00A76DC7"/>
    <w:rsid w:val="00A774B7"/>
    <w:rsid w:val="00A77D7A"/>
    <w:rsid w:val="00A841CC"/>
    <w:rsid w:val="00A84B60"/>
    <w:rsid w:val="00A84E68"/>
    <w:rsid w:val="00A84F62"/>
    <w:rsid w:val="00A8630D"/>
    <w:rsid w:val="00A86E65"/>
    <w:rsid w:val="00A87B6C"/>
    <w:rsid w:val="00A908F9"/>
    <w:rsid w:val="00A91B1B"/>
    <w:rsid w:val="00A9351D"/>
    <w:rsid w:val="00A94A09"/>
    <w:rsid w:val="00A967EE"/>
    <w:rsid w:val="00A97A10"/>
    <w:rsid w:val="00AA1F72"/>
    <w:rsid w:val="00AA2EDA"/>
    <w:rsid w:val="00AA4277"/>
    <w:rsid w:val="00AA4C2B"/>
    <w:rsid w:val="00AA4D58"/>
    <w:rsid w:val="00AA5B94"/>
    <w:rsid w:val="00AA6265"/>
    <w:rsid w:val="00AB05BF"/>
    <w:rsid w:val="00AB4880"/>
    <w:rsid w:val="00AB5963"/>
    <w:rsid w:val="00AB7149"/>
    <w:rsid w:val="00AB762B"/>
    <w:rsid w:val="00AB78E0"/>
    <w:rsid w:val="00AC0810"/>
    <w:rsid w:val="00AC0B3D"/>
    <w:rsid w:val="00AC18F7"/>
    <w:rsid w:val="00AC1ED1"/>
    <w:rsid w:val="00AC211D"/>
    <w:rsid w:val="00AC3701"/>
    <w:rsid w:val="00AC49D8"/>
    <w:rsid w:val="00AC4BCE"/>
    <w:rsid w:val="00AC523C"/>
    <w:rsid w:val="00AC567F"/>
    <w:rsid w:val="00AC7AB2"/>
    <w:rsid w:val="00AD0CCB"/>
    <w:rsid w:val="00AD0D21"/>
    <w:rsid w:val="00AD1C76"/>
    <w:rsid w:val="00AD24CE"/>
    <w:rsid w:val="00AD279E"/>
    <w:rsid w:val="00AD2B89"/>
    <w:rsid w:val="00AD3A3C"/>
    <w:rsid w:val="00AD3AFA"/>
    <w:rsid w:val="00AD3EED"/>
    <w:rsid w:val="00AD5C2E"/>
    <w:rsid w:val="00AD748B"/>
    <w:rsid w:val="00AE11B7"/>
    <w:rsid w:val="00AE1D85"/>
    <w:rsid w:val="00AE4E07"/>
    <w:rsid w:val="00AE5230"/>
    <w:rsid w:val="00AE5901"/>
    <w:rsid w:val="00AE77B6"/>
    <w:rsid w:val="00AF0612"/>
    <w:rsid w:val="00AF0888"/>
    <w:rsid w:val="00AF0A78"/>
    <w:rsid w:val="00AF2170"/>
    <w:rsid w:val="00AF2F4F"/>
    <w:rsid w:val="00AF3055"/>
    <w:rsid w:val="00AF36B0"/>
    <w:rsid w:val="00AF53ED"/>
    <w:rsid w:val="00AF612D"/>
    <w:rsid w:val="00AF6CAF"/>
    <w:rsid w:val="00AF7691"/>
    <w:rsid w:val="00AF7F47"/>
    <w:rsid w:val="00B00A55"/>
    <w:rsid w:val="00B00F22"/>
    <w:rsid w:val="00B0381C"/>
    <w:rsid w:val="00B06444"/>
    <w:rsid w:val="00B0686B"/>
    <w:rsid w:val="00B06C4D"/>
    <w:rsid w:val="00B06CE6"/>
    <w:rsid w:val="00B06D4B"/>
    <w:rsid w:val="00B074A9"/>
    <w:rsid w:val="00B1151F"/>
    <w:rsid w:val="00B11B9E"/>
    <w:rsid w:val="00B13E00"/>
    <w:rsid w:val="00B17C35"/>
    <w:rsid w:val="00B201ED"/>
    <w:rsid w:val="00B2105F"/>
    <w:rsid w:val="00B214B2"/>
    <w:rsid w:val="00B24584"/>
    <w:rsid w:val="00B24C4A"/>
    <w:rsid w:val="00B25CD9"/>
    <w:rsid w:val="00B26953"/>
    <w:rsid w:val="00B269E3"/>
    <w:rsid w:val="00B26CCF"/>
    <w:rsid w:val="00B275A3"/>
    <w:rsid w:val="00B2796C"/>
    <w:rsid w:val="00B30004"/>
    <w:rsid w:val="00B30353"/>
    <w:rsid w:val="00B31519"/>
    <w:rsid w:val="00B316B9"/>
    <w:rsid w:val="00B322C1"/>
    <w:rsid w:val="00B34C1E"/>
    <w:rsid w:val="00B35331"/>
    <w:rsid w:val="00B36546"/>
    <w:rsid w:val="00B37C5B"/>
    <w:rsid w:val="00B424BA"/>
    <w:rsid w:val="00B43AA3"/>
    <w:rsid w:val="00B464BB"/>
    <w:rsid w:val="00B51544"/>
    <w:rsid w:val="00B522B5"/>
    <w:rsid w:val="00B52E2F"/>
    <w:rsid w:val="00B531DD"/>
    <w:rsid w:val="00B54564"/>
    <w:rsid w:val="00B55390"/>
    <w:rsid w:val="00B56A07"/>
    <w:rsid w:val="00B56D45"/>
    <w:rsid w:val="00B572E8"/>
    <w:rsid w:val="00B603B4"/>
    <w:rsid w:val="00B60860"/>
    <w:rsid w:val="00B61CA4"/>
    <w:rsid w:val="00B63309"/>
    <w:rsid w:val="00B645D2"/>
    <w:rsid w:val="00B6554C"/>
    <w:rsid w:val="00B67E6B"/>
    <w:rsid w:val="00B70FA8"/>
    <w:rsid w:val="00B717B0"/>
    <w:rsid w:val="00B71DC2"/>
    <w:rsid w:val="00B73546"/>
    <w:rsid w:val="00B74DD5"/>
    <w:rsid w:val="00B74F88"/>
    <w:rsid w:val="00B75052"/>
    <w:rsid w:val="00B75E3B"/>
    <w:rsid w:val="00B76565"/>
    <w:rsid w:val="00B76A6E"/>
    <w:rsid w:val="00B7713E"/>
    <w:rsid w:val="00B77B63"/>
    <w:rsid w:val="00B84A83"/>
    <w:rsid w:val="00B86133"/>
    <w:rsid w:val="00B8704A"/>
    <w:rsid w:val="00B879C7"/>
    <w:rsid w:val="00B90D3F"/>
    <w:rsid w:val="00B90DA2"/>
    <w:rsid w:val="00B91A11"/>
    <w:rsid w:val="00B91FD8"/>
    <w:rsid w:val="00B932D0"/>
    <w:rsid w:val="00B93893"/>
    <w:rsid w:val="00B94082"/>
    <w:rsid w:val="00B942C8"/>
    <w:rsid w:val="00B94D09"/>
    <w:rsid w:val="00B95E58"/>
    <w:rsid w:val="00B95FC2"/>
    <w:rsid w:val="00B96467"/>
    <w:rsid w:val="00B979F2"/>
    <w:rsid w:val="00B97DCD"/>
    <w:rsid w:val="00B97F73"/>
    <w:rsid w:val="00BA06AC"/>
    <w:rsid w:val="00BA1B1C"/>
    <w:rsid w:val="00BA2778"/>
    <w:rsid w:val="00BA2CB0"/>
    <w:rsid w:val="00BA3238"/>
    <w:rsid w:val="00BA3472"/>
    <w:rsid w:val="00BA537F"/>
    <w:rsid w:val="00BA5E9E"/>
    <w:rsid w:val="00BA770E"/>
    <w:rsid w:val="00BA77F1"/>
    <w:rsid w:val="00BA7A60"/>
    <w:rsid w:val="00BA7EDA"/>
    <w:rsid w:val="00BB094A"/>
    <w:rsid w:val="00BB11E1"/>
    <w:rsid w:val="00BB1594"/>
    <w:rsid w:val="00BB1670"/>
    <w:rsid w:val="00BB2BC0"/>
    <w:rsid w:val="00BB6DA1"/>
    <w:rsid w:val="00BB7ABD"/>
    <w:rsid w:val="00BB7EB7"/>
    <w:rsid w:val="00BC02E9"/>
    <w:rsid w:val="00BC0A80"/>
    <w:rsid w:val="00BC1254"/>
    <w:rsid w:val="00BC12A3"/>
    <w:rsid w:val="00BC3839"/>
    <w:rsid w:val="00BC3B53"/>
    <w:rsid w:val="00BC4A98"/>
    <w:rsid w:val="00BC4D64"/>
    <w:rsid w:val="00BC56F5"/>
    <w:rsid w:val="00BC7D8C"/>
    <w:rsid w:val="00BD0F12"/>
    <w:rsid w:val="00BD1454"/>
    <w:rsid w:val="00BD174E"/>
    <w:rsid w:val="00BD2542"/>
    <w:rsid w:val="00BD2672"/>
    <w:rsid w:val="00BD3803"/>
    <w:rsid w:val="00BD384C"/>
    <w:rsid w:val="00BD3F0B"/>
    <w:rsid w:val="00BD4929"/>
    <w:rsid w:val="00BD5DFC"/>
    <w:rsid w:val="00BD7AE6"/>
    <w:rsid w:val="00BE09ED"/>
    <w:rsid w:val="00BE0B32"/>
    <w:rsid w:val="00BE2497"/>
    <w:rsid w:val="00BE458E"/>
    <w:rsid w:val="00BE5564"/>
    <w:rsid w:val="00BE5BB2"/>
    <w:rsid w:val="00BE7A81"/>
    <w:rsid w:val="00BE7CD2"/>
    <w:rsid w:val="00BF0B23"/>
    <w:rsid w:val="00BF1365"/>
    <w:rsid w:val="00BF2B59"/>
    <w:rsid w:val="00BF2C4F"/>
    <w:rsid w:val="00BF37A3"/>
    <w:rsid w:val="00BF3D01"/>
    <w:rsid w:val="00BF5B51"/>
    <w:rsid w:val="00BF6E61"/>
    <w:rsid w:val="00C00B67"/>
    <w:rsid w:val="00C00F4E"/>
    <w:rsid w:val="00C01061"/>
    <w:rsid w:val="00C010DC"/>
    <w:rsid w:val="00C05318"/>
    <w:rsid w:val="00C10869"/>
    <w:rsid w:val="00C117E2"/>
    <w:rsid w:val="00C12C00"/>
    <w:rsid w:val="00C12E90"/>
    <w:rsid w:val="00C12EB9"/>
    <w:rsid w:val="00C1320B"/>
    <w:rsid w:val="00C14CC1"/>
    <w:rsid w:val="00C20227"/>
    <w:rsid w:val="00C206F1"/>
    <w:rsid w:val="00C26035"/>
    <w:rsid w:val="00C26079"/>
    <w:rsid w:val="00C27206"/>
    <w:rsid w:val="00C2757D"/>
    <w:rsid w:val="00C27761"/>
    <w:rsid w:val="00C30AC1"/>
    <w:rsid w:val="00C30F05"/>
    <w:rsid w:val="00C3160C"/>
    <w:rsid w:val="00C3189F"/>
    <w:rsid w:val="00C3256E"/>
    <w:rsid w:val="00C32CA8"/>
    <w:rsid w:val="00C33340"/>
    <w:rsid w:val="00C3445F"/>
    <w:rsid w:val="00C35A91"/>
    <w:rsid w:val="00C36A74"/>
    <w:rsid w:val="00C371A6"/>
    <w:rsid w:val="00C40C60"/>
    <w:rsid w:val="00C40D2E"/>
    <w:rsid w:val="00C40F43"/>
    <w:rsid w:val="00C42F03"/>
    <w:rsid w:val="00C43022"/>
    <w:rsid w:val="00C447C0"/>
    <w:rsid w:val="00C4528D"/>
    <w:rsid w:val="00C458C9"/>
    <w:rsid w:val="00C46B84"/>
    <w:rsid w:val="00C50ECF"/>
    <w:rsid w:val="00C520D9"/>
    <w:rsid w:val="00C52281"/>
    <w:rsid w:val="00C52E42"/>
    <w:rsid w:val="00C53426"/>
    <w:rsid w:val="00C54FEA"/>
    <w:rsid w:val="00C55E5A"/>
    <w:rsid w:val="00C56BE8"/>
    <w:rsid w:val="00C56F67"/>
    <w:rsid w:val="00C60E49"/>
    <w:rsid w:val="00C61197"/>
    <w:rsid w:val="00C62A0B"/>
    <w:rsid w:val="00C62A7C"/>
    <w:rsid w:val="00C62EF0"/>
    <w:rsid w:val="00C63108"/>
    <w:rsid w:val="00C638E2"/>
    <w:rsid w:val="00C6537C"/>
    <w:rsid w:val="00C666E4"/>
    <w:rsid w:val="00C72444"/>
    <w:rsid w:val="00C748D9"/>
    <w:rsid w:val="00C76C5F"/>
    <w:rsid w:val="00C812F7"/>
    <w:rsid w:val="00C81911"/>
    <w:rsid w:val="00C82352"/>
    <w:rsid w:val="00C82897"/>
    <w:rsid w:val="00C833B6"/>
    <w:rsid w:val="00C85838"/>
    <w:rsid w:val="00C876B7"/>
    <w:rsid w:val="00C87A1C"/>
    <w:rsid w:val="00C90846"/>
    <w:rsid w:val="00C91B2C"/>
    <w:rsid w:val="00C92925"/>
    <w:rsid w:val="00C92CA5"/>
    <w:rsid w:val="00C9336F"/>
    <w:rsid w:val="00C93B39"/>
    <w:rsid w:val="00C95525"/>
    <w:rsid w:val="00C95961"/>
    <w:rsid w:val="00C96AEB"/>
    <w:rsid w:val="00CA0A69"/>
    <w:rsid w:val="00CA0E76"/>
    <w:rsid w:val="00CA1D28"/>
    <w:rsid w:val="00CA3184"/>
    <w:rsid w:val="00CA3C35"/>
    <w:rsid w:val="00CA40F8"/>
    <w:rsid w:val="00CA473C"/>
    <w:rsid w:val="00CA47D3"/>
    <w:rsid w:val="00CA52E3"/>
    <w:rsid w:val="00CA53DE"/>
    <w:rsid w:val="00CA58C3"/>
    <w:rsid w:val="00CA5BC9"/>
    <w:rsid w:val="00CA6A55"/>
    <w:rsid w:val="00CA6DEF"/>
    <w:rsid w:val="00CA7E73"/>
    <w:rsid w:val="00CB156F"/>
    <w:rsid w:val="00CB1BBD"/>
    <w:rsid w:val="00CB3777"/>
    <w:rsid w:val="00CB4B44"/>
    <w:rsid w:val="00CB5A73"/>
    <w:rsid w:val="00CB760A"/>
    <w:rsid w:val="00CC0BB4"/>
    <w:rsid w:val="00CC12DF"/>
    <w:rsid w:val="00CC1AE0"/>
    <w:rsid w:val="00CC30F2"/>
    <w:rsid w:val="00CC4638"/>
    <w:rsid w:val="00CC4D8D"/>
    <w:rsid w:val="00CC63E0"/>
    <w:rsid w:val="00CC68C8"/>
    <w:rsid w:val="00CC6FDD"/>
    <w:rsid w:val="00CC7CCE"/>
    <w:rsid w:val="00CD1689"/>
    <w:rsid w:val="00CD21AA"/>
    <w:rsid w:val="00CD2492"/>
    <w:rsid w:val="00CD47BA"/>
    <w:rsid w:val="00CD4CD5"/>
    <w:rsid w:val="00CD5427"/>
    <w:rsid w:val="00CD586F"/>
    <w:rsid w:val="00CD604A"/>
    <w:rsid w:val="00CD6791"/>
    <w:rsid w:val="00CD6D4A"/>
    <w:rsid w:val="00CD7B6F"/>
    <w:rsid w:val="00CE0579"/>
    <w:rsid w:val="00CE134F"/>
    <w:rsid w:val="00CE15C4"/>
    <w:rsid w:val="00CE2E6A"/>
    <w:rsid w:val="00CE2EA9"/>
    <w:rsid w:val="00CE36BD"/>
    <w:rsid w:val="00CE41DA"/>
    <w:rsid w:val="00CE6D64"/>
    <w:rsid w:val="00CE74D9"/>
    <w:rsid w:val="00CF053F"/>
    <w:rsid w:val="00CF09FF"/>
    <w:rsid w:val="00CF0A55"/>
    <w:rsid w:val="00CF2405"/>
    <w:rsid w:val="00CF301C"/>
    <w:rsid w:val="00CF3758"/>
    <w:rsid w:val="00CF5157"/>
    <w:rsid w:val="00CF56A4"/>
    <w:rsid w:val="00CF6858"/>
    <w:rsid w:val="00CF79E5"/>
    <w:rsid w:val="00CF7C8B"/>
    <w:rsid w:val="00D00180"/>
    <w:rsid w:val="00D00793"/>
    <w:rsid w:val="00D00D1A"/>
    <w:rsid w:val="00D01D15"/>
    <w:rsid w:val="00D02352"/>
    <w:rsid w:val="00D04083"/>
    <w:rsid w:val="00D04162"/>
    <w:rsid w:val="00D07878"/>
    <w:rsid w:val="00D078E1"/>
    <w:rsid w:val="00D07E5B"/>
    <w:rsid w:val="00D102D2"/>
    <w:rsid w:val="00D10AEF"/>
    <w:rsid w:val="00D12A7F"/>
    <w:rsid w:val="00D131D6"/>
    <w:rsid w:val="00D135BA"/>
    <w:rsid w:val="00D17A1D"/>
    <w:rsid w:val="00D20C77"/>
    <w:rsid w:val="00D214D9"/>
    <w:rsid w:val="00D2183D"/>
    <w:rsid w:val="00D218AC"/>
    <w:rsid w:val="00D221A6"/>
    <w:rsid w:val="00D232A2"/>
    <w:rsid w:val="00D23522"/>
    <w:rsid w:val="00D25C90"/>
    <w:rsid w:val="00D25F5C"/>
    <w:rsid w:val="00D26196"/>
    <w:rsid w:val="00D279AE"/>
    <w:rsid w:val="00D30900"/>
    <w:rsid w:val="00D30F08"/>
    <w:rsid w:val="00D311EA"/>
    <w:rsid w:val="00D31C61"/>
    <w:rsid w:val="00D323BE"/>
    <w:rsid w:val="00D32F98"/>
    <w:rsid w:val="00D358D8"/>
    <w:rsid w:val="00D359B1"/>
    <w:rsid w:val="00D363B8"/>
    <w:rsid w:val="00D365C5"/>
    <w:rsid w:val="00D36C95"/>
    <w:rsid w:val="00D405AB"/>
    <w:rsid w:val="00D41280"/>
    <w:rsid w:val="00D417DD"/>
    <w:rsid w:val="00D43528"/>
    <w:rsid w:val="00D44C1C"/>
    <w:rsid w:val="00D453B9"/>
    <w:rsid w:val="00D45EB0"/>
    <w:rsid w:val="00D46125"/>
    <w:rsid w:val="00D465FE"/>
    <w:rsid w:val="00D52AF1"/>
    <w:rsid w:val="00D52F46"/>
    <w:rsid w:val="00D5423B"/>
    <w:rsid w:val="00D54F4E"/>
    <w:rsid w:val="00D55865"/>
    <w:rsid w:val="00D56274"/>
    <w:rsid w:val="00D56813"/>
    <w:rsid w:val="00D57030"/>
    <w:rsid w:val="00D60BA4"/>
    <w:rsid w:val="00D611EC"/>
    <w:rsid w:val="00D61E03"/>
    <w:rsid w:val="00D62F23"/>
    <w:rsid w:val="00D6528F"/>
    <w:rsid w:val="00D66E1D"/>
    <w:rsid w:val="00D675B4"/>
    <w:rsid w:val="00D67A7A"/>
    <w:rsid w:val="00D67F8F"/>
    <w:rsid w:val="00D711A5"/>
    <w:rsid w:val="00D713FF"/>
    <w:rsid w:val="00D72421"/>
    <w:rsid w:val="00D734E5"/>
    <w:rsid w:val="00D73F97"/>
    <w:rsid w:val="00D745A7"/>
    <w:rsid w:val="00D74D0A"/>
    <w:rsid w:val="00D767FA"/>
    <w:rsid w:val="00D80CCE"/>
    <w:rsid w:val="00D81BCC"/>
    <w:rsid w:val="00D81C3C"/>
    <w:rsid w:val="00D81D90"/>
    <w:rsid w:val="00D82202"/>
    <w:rsid w:val="00D83104"/>
    <w:rsid w:val="00D83137"/>
    <w:rsid w:val="00D85213"/>
    <w:rsid w:val="00D85A93"/>
    <w:rsid w:val="00D87FF1"/>
    <w:rsid w:val="00D907CE"/>
    <w:rsid w:val="00D911B6"/>
    <w:rsid w:val="00D92483"/>
    <w:rsid w:val="00D92633"/>
    <w:rsid w:val="00D9307A"/>
    <w:rsid w:val="00D93CE9"/>
    <w:rsid w:val="00D947DE"/>
    <w:rsid w:val="00D94DB4"/>
    <w:rsid w:val="00D951CB"/>
    <w:rsid w:val="00D95FF3"/>
    <w:rsid w:val="00D961CF"/>
    <w:rsid w:val="00D96A52"/>
    <w:rsid w:val="00DA11ED"/>
    <w:rsid w:val="00DA2288"/>
    <w:rsid w:val="00DA2323"/>
    <w:rsid w:val="00DA243E"/>
    <w:rsid w:val="00DA298C"/>
    <w:rsid w:val="00DA2ABC"/>
    <w:rsid w:val="00DA3D0B"/>
    <w:rsid w:val="00DB030C"/>
    <w:rsid w:val="00DB2280"/>
    <w:rsid w:val="00DB2A7D"/>
    <w:rsid w:val="00DB403F"/>
    <w:rsid w:val="00DB4A3A"/>
    <w:rsid w:val="00DB4FA7"/>
    <w:rsid w:val="00DB686C"/>
    <w:rsid w:val="00DB7D94"/>
    <w:rsid w:val="00DC1AA9"/>
    <w:rsid w:val="00DC2000"/>
    <w:rsid w:val="00DC3FED"/>
    <w:rsid w:val="00DC6952"/>
    <w:rsid w:val="00DC6E11"/>
    <w:rsid w:val="00DC7C62"/>
    <w:rsid w:val="00DD0719"/>
    <w:rsid w:val="00DD1B91"/>
    <w:rsid w:val="00DD368B"/>
    <w:rsid w:val="00DD5C95"/>
    <w:rsid w:val="00DD640A"/>
    <w:rsid w:val="00DD6E29"/>
    <w:rsid w:val="00DE0668"/>
    <w:rsid w:val="00DE23E7"/>
    <w:rsid w:val="00DE2DA8"/>
    <w:rsid w:val="00DE343C"/>
    <w:rsid w:val="00DE575C"/>
    <w:rsid w:val="00DE578A"/>
    <w:rsid w:val="00DE5D8B"/>
    <w:rsid w:val="00DE6AC5"/>
    <w:rsid w:val="00DE6E7E"/>
    <w:rsid w:val="00DE7089"/>
    <w:rsid w:val="00DE7DDA"/>
    <w:rsid w:val="00DF08B6"/>
    <w:rsid w:val="00DF15EE"/>
    <w:rsid w:val="00DF1D1E"/>
    <w:rsid w:val="00DF2583"/>
    <w:rsid w:val="00DF54D9"/>
    <w:rsid w:val="00DF5AAE"/>
    <w:rsid w:val="00DF6973"/>
    <w:rsid w:val="00DF79E9"/>
    <w:rsid w:val="00E00687"/>
    <w:rsid w:val="00E008CB"/>
    <w:rsid w:val="00E021C8"/>
    <w:rsid w:val="00E03C18"/>
    <w:rsid w:val="00E03D32"/>
    <w:rsid w:val="00E03E8B"/>
    <w:rsid w:val="00E04465"/>
    <w:rsid w:val="00E04E34"/>
    <w:rsid w:val="00E05032"/>
    <w:rsid w:val="00E050FA"/>
    <w:rsid w:val="00E05FDB"/>
    <w:rsid w:val="00E10991"/>
    <w:rsid w:val="00E10DC6"/>
    <w:rsid w:val="00E114D0"/>
    <w:rsid w:val="00E11F8E"/>
    <w:rsid w:val="00E12B7F"/>
    <w:rsid w:val="00E13C1A"/>
    <w:rsid w:val="00E145EA"/>
    <w:rsid w:val="00E157F2"/>
    <w:rsid w:val="00E16432"/>
    <w:rsid w:val="00E16D83"/>
    <w:rsid w:val="00E17944"/>
    <w:rsid w:val="00E17BC5"/>
    <w:rsid w:val="00E20A86"/>
    <w:rsid w:val="00E20B8C"/>
    <w:rsid w:val="00E220A9"/>
    <w:rsid w:val="00E22722"/>
    <w:rsid w:val="00E2347F"/>
    <w:rsid w:val="00E276B2"/>
    <w:rsid w:val="00E31C92"/>
    <w:rsid w:val="00E33166"/>
    <w:rsid w:val="00E33FD4"/>
    <w:rsid w:val="00E34ED6"/>
    <w:rsid w:val="00E3596E"/>
    <w:rsid w:val="00E364EF"/>
    <w:rsid w:val="00E36D84"/>
    <w:rsid w:val="00E4094E"/>
    <w:rsid w:val="00E40BC7"/>
    <w:rsid w:val="00E426A4"/>
    <w:rsid w:val="00E42D22"/>
    <w:rsid w:val="00E43FF9"/>
    <w:rsid w:val="00E4573C"/>
    <w:rsid w:val="00E458E2"/>
    <w:rsid w:val="00E45F37"/>
    <w:rsid w:val="00E466F2"/>
    <w:rsid w:val="00E46C04"/>
    <w:rsid w:val="00E47114"/>
    <w:rsid w:val="00E50A17"/>
    <w:rsid w:val="00E50BC1"/>
    <w:rsid w:val="00E50BD4"/>
    <w:rsid w:val="00E51959"/>
    <w:rsid w:val="00E526DF"/>
    <w:rsid w:val="00E52D2E"/>
    <w:rsid w:val="00E560FF"/>
    <w:rsid w:val="00E56173"/>
    <w:rsid w:val="00E56899"/>
    <w:rsid w:val="00E56ADD"/>
    <w:rsid w:val="00E575BA"/>
    <w:rsid w:val="00E5788D"/>
    <w:rsid w:val="00E57CC8"/>
    <w:rsid w:val="00E60F41"/>
    <w:rsid w:val="00E61E20"/>
    <w:rsid w:val="00E62286"/>
    <w:rsid w:val="00E634B6"/>
    <w:rsid w:val="00E634E3"/>
    <w:rsid w:val="00E645B1"/>
    <w:rsid w:val="00E6586E"/>
    <w:rsid w:val="00E659A6"/>
    <w:rsid w:val="00E675D8"/>
    <w:rsid w:val="00E724F5"/>
    <w:rsid w:val="00E75C19"/>
    <w:rsid w:val="00E75D2C"/>
    <w:rsid w:val="00E80F31"/>
    <w:rsid w:val="00E818E7"/>
    <w:rsid w:val="00E82965"/>
    <w:rsid w:val="00E84C9C"/>
    <w:rsid w:val="00E85102"/>
    <w:rsid w:val="00E8592D"/>
    <w:rsid w:val="00E86633"/>
    <w:rsid w:val="00E876A6"/>
    <w:rsid w:val="00E90504"/>
    <w:rsid w:val="00E9195B"/>
    <w:rsid w:val="00E93A93"/>
    <w:rsid w:val="00E9497F"/>
    <w:rsid w:val="00E95327"/>
    <w:rsid w:val="00E96D0E"/>
    <w:rsid w:val="00E97E95"/>
    <w:rsid w:val="00EA0AA8"/>
    <w:rsid w:val="00EA14C5"/>
    <w:rsid w:val="00EA1765"/>
    <w:rsid w:val="00EA18D2"/>
    <w:rsid w:val="00EA26EF"/>
    <w:rsid w:val="00EA3241"/>
    <w:rsid w:val="00EA3B5F"/>
    <w:rsid w:val="00EA4846"/>
    <w:rsid w:val="00EA4AA7"/>
    <w:rsid w:val="00EA5786"/>
    <w:rsid w:val="00EA615D"/>
    <w:rsid w:val="00EA75C1"/>
    <w:rsid w:val="00EA7B10"/>
    <w:rsid w:val="00EB141A"/>
    <w:rsid w:val="00EB18B1"/>
    <w:rsid w:val="00EB1CD0"/>
    <w:rsid w:val="00EB2DEB"/>
    <w:rsid w:val="00EB3D6B"/>
    <w:rsid w:val="00EB40BD"/>
    <w:rsid w:val="00EB4508"/>
    <w:rsid w:val="00EB4736"/>
    <w:rsid w:val="00EB6D1A"/>
    <w:rsid w:val="00EB7038"/>
    <w:rsid w:val="00EB7550"/>
    <w:rsid w:val="00EB7C2E"/>
    <w:rsid w:val="00EC0F04"/>
    <w:rsid w:val="00EC10EC"/>
    <w:rsid w:val="00EC1309"/>
    <w:rsid w:val="00EC237D"/>
    <w:rsid w:val="00EC3199"/>
    <w:rsid w:val="00EC3951"/>
    <w:rsid w:val="00EC5F70"/>
    <w:rsid w:val="00EC6AAB"/>
    <w:rsid w:val="00EC6F2A"/>
    <w:rsid w:val="00ED173D"/>
    <w:rsid w:val="00ED2F32"/>
    <w:rsid w:val="00ED4248"/>
    <w:rsid w:val="00ED4703"/>
    <w:rsid w:val="00ED5294"/>
    <w:rsid w:val="00ED60CA"/>
    <w:rsid w:val="00ED64EF"/>
    <w:rsid w:val="00ED6B92"/>
    <w:rsid w:val="00ED6CDA"/>
    <w:rsid w:val="00ED7120"/>
    <w:rsid w:val="00ED7466"/>
    <w:rsid w:val="00EE0CAE"/>
    <w:rsid w:val="00EE0EC3"/>
    <w:rsid w:val="00EE1819"/>
    <w:rsid w:val="00EE1A75"/>
    <w:rsid w:val="00EE1B9E"/>
    <w:rsid w:val="00EE1DC0"/>
    <w:rsid w:val="00EE360F"/>
    <w:rsid w:val="00EE39FC"/>
    <w:rsid w:val="00EE4A1F"/>
    <w:rsid w:val="00EE4FBE"/>
    <w:rsid w:val="00EE53EA"/>
    <w:rsid w:val="00EF009A"/>
    <w:rsid w:val="00EF09B1"/>
    <w:rsid w:val="00EF0B1A"/>
    <w:rsid w:val="00EF0D0D"/>
    <w:rsid w:val="00EF0ED5"/>
    <w:rsid w:val="00EF1B5A"/>
    <w:rsid w:val="00EF1FD0"/>
    <w:rsid w:val="00EF2CCA"/>
    <w:rsid w:val="00EF4E31"/>
    <w:rsid w:val="00EF61AC"/>
    <w:rsid w:val="00EF7082"/>
    <w:rsid w:val="00EF791D"/>
    <w:rsid w:val="00F01325"/>
    <w:rsid w:val="00F0172C"/>
    <w:rsid w:val="00F017B1"/>
    <w:rsid w:val="00F01BA1"/>
    <w:rsid w:val="00F03E1B"/>
    <w:rsid w:val="00F04D64"/>
    <w:rsid w:val="00F057E0"/>
    <w:rsid w:val="00F10ADF"/>
    <w:rsid w:val="00F11286"/>
    <w:rsid w:val="00F123C5"/>
    <w:rsid w:val="00F13F47"/>
    <w:rsid w:val="00F1476D"/>
    <w:rsid w:val="00F16EBD"/>
    <w:rsid w:val="00F214D5"/>
    <w:rsid w:val="00F229EF"/>
    <w:rsid w:val="00F22C62"/>
    <w:rsid w:val="00F2320C"/>
    <w:rsid w:val="00F24A31"/>
    <w:rsid w:val="00F24E4E"/>
    <w:rsid w:val="00F25B7F"/>
    <w:rsid w:val="00F26059"/>
    <w:rsid w:val="00F2608D"/>
    <w:rsid w:val="00F313B0"/>
    <w:rsid w:val="00F32682"/>
    <w:rsid w:val="00F33E73"/>
    <w:rsid w:val="00F343DA"/>
    <w:rsid w:val="00F35651"/>
    <w:rsid w:val="00F359F8"/>
    <w:rsid w:val="00F35F57"/>
    <w:rsid w:val="00F3613C"/>
    <w:rsid w:val="00F363D1"/>
    <w:rsid w:val="00F3652C"/>
    <w:rsid w:val="00F366F4"/>
    <w:rsid w:val="00F36803"/>
    <w:rsid w:val="00F36A04"/>
    <w:rsid w:val="00F376A8"/>
    <w:rsid w:val="00F427CC"/>
    <w:rsid w:val="00F43D1A"/>
    <w:rsid w:val="00F43E8A"/>
    <w:rsid w:val="00F44FBE"/>
    <w:rsid w:val="00F45528"/>
    <w:rsid w:val="00F46AA1"/>
    <w:rsid w:val="00F47235"/>
    <w:rsid w:val="00F47A9A"/>
    <w:rsid w:val="00F50554"/>
    <w:rsid w:val="00F513B9"/>
    <w:rsid w:val="00F51771"/>
    <w:rsid w:val="00F53F17"/>
    <w:rsid w:val="00F53F91"/>
    <w:rsid w:val="00F56255"/>
    <w:rsid w:val="00F57321"/>
    <w:rsid w:val="00F57CD4"/>
    <w:rsid w:val="00F613E9"/>
    <w:rsid w:val="00F6168C"/>
    <w:rsid w:val="00F61A72"/>
    <w:rsid w:val="00F623E4"/>
    <w:rsid w:val="00F62D1F"/>
    <w:rsid w:val="00F6371E"/>
    <w:rsid w:val="00F63E0E"/>
    <w:rsid w:val="00F64311"/>
    <w:rsid w:val="00F65951"/>
    <w:rsid w:val="00F65DE4"/>
    <w:rsid w:val="00F669DF"/>
    <w:rsid w:val="00F66F13"/>
    <w:rsid w:val="00F70569"/>
    <w:rsid w:val="00F73F2B"/>
    <w:rsid w:val="00F74073"/>
    <w:rsid w:val="00F74AC4"/>
    <w:rsid w:val="00F74D7D"/>
    <w:rsid w:val="00F7510E"/>
    <w:rsid w:val="00F7614E"/>
    <w:rsid w:val="00F772BC"/>
    <w:rsid w:val="00F77453"/>
    <w:rsid w:val="00F80600"/>
    <w:rsid w:val="00F8063D"/>
    <w:rsid w:val="00F80F82"/>
    <w:rsid w:val="00F81A04"/>
    <w:rsid w:val="00F83467"/>
    <w:rsid w:val="00F84116"/>
    <w:rsid w:val="00F8524E"/>
    <w:rsid w:val="00F8725D"/>
    <w:rsid w:val="00F875E7"/>
    <w:rsid w:val="00F8778E"/>
    <w:rsid w:val="00F87D67"/>
    <w:rsid w:val="00F87D80"/>
    <w:rsid w:val="00F90E04"/>
    <w:rsid w:val="00F9189A"/>
    <w:rsid w:val="00F928C5"/>
    <w:rsid w:val="00F9410C"/>
    <w:rsid w:val="00F95011"/>
    <w:rsid w:val="00F970A1"/>
    <w:rsid w:val="00FA06E0"/>
    <w:rsid w:val="00FA1759"/>
    <w:rsid w:val="00FA1882"/>
    <w:rsid w:val="00FA26AA"/>
    <w:rsid w:val="00FA277B"/>
    <w:rsid w:val="00FB06ED"/>
    <w:rsid w:val="00FB23D4"/>
    <w:rsid w:val="00FB76DB"/>
    <w:rsid w:val="00FC084D"/>
    <w:rsid w:val="00FC1DF1"/>
    <w:rsid w:val="00FC36AB"/>
    <w:rsid w:val="00FC3F21"/>
    <w:rsid w:val="00FC463F"/>
    <w:rsid w:val="00FC5A5F"/>
    <w:rsid w:val="00FC6AB4"/>
    <w:rsid w:val="00FC6EC6"/>
    <w:rsid w:val="00FD09E3"/>
    <w:rsid w:val="00FD1727"/>
    <w:rsid w:val="00FD1D6B"/>
    <w:rsid w:val="00FD1DAB"/>
    <w:rsid w:val="00FD2798"/>
    <w:rsid w:val="00FD28AC"/>
    <w:rsid w:val="00FD2A72"/>
    <w:rsid w:val="00FD377A"/>
    <w:rsid w:val="00FD5819"/>
    <w:rsid w:val="00FD595C"/>
    <w:rsid w:val="00FD749E"/>
    <w:rsid w:val="00FE0E17"/>
    <w:rsid w:val="00FE15EB"/>
    <w:rsid w:val="00FE1A9A"/>
    <w:rsid w:val="00FE2B4E"/>
    <w:rsid w:val="00FE4BF1"/>
    <w:rsid w:val="00FE4F08"/>
    <w:rsid w:val="00FE5C0A"/>
    <w:rsid w:val="00FE64E4"/>
    <w:rsid w:val="00FF0D35"/>
    <w:rsid w:val="00FF0DF2"/>
    <w:rsid w:val="00FF2EDE"/>
    <w:rsid w:val="00FF3069"/>
    <w:rsid w:val="00FF3A5A"/>
    <w:rsid w:val="00FF5128"/>
    <w:rsid w:val="00FF520A"/>
    <w:rsid w:val="00FF6E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fill="f" fillcolor="white" stroke="f">
      <v:fill color="white" on="f"/>
      <v:stroke on="f"/>
    </o:shapedefaults>
    <o:shapelayout v:ext="edit">
      <o:idmap v:ext="edit" data="1"/>
    </o:shapelayout>
  </w:shapeDefaults>
  <w:decimalSymbol w:val=","/>
  <w:listSeparator w:val=";"/>
  <w14:docId w14:val="0E27E48C"/>
  <w15:chartTrackingRefBased/>
  <w15:docId w15:val="{17D8D6DC-C437-46AC-8EF5-0F911C3B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HTML Cit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lang w:val="nl-NL" w:eastAsia="nl-NL"/>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link w:val="BodyTextChar"/>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lang w:val="nl-NL" w:eastAsia="nl-NL"/>
    </w:rPr>
  </w:style>
  <w:style w:type="paragraph" w:customStyle="1" w:styleId="Default">
    <w:name w:val="Default"/>
    <w:rsid w:val="00BD2542"/>
    <w:pPr>
      <w:autoSpaceDE w:val="0"/>
      <w:autoSpaceDN w:val="0"/>
      <w:adjustRightInd w:val="0"/>
    </w:pPr>
    <w:rPr>
      <w:color w:val="000000"/>
      <w:sz w:val="24"/>
      <w:szCs w:val="24"/>
      <w:lang w:val="nl-NL" w:eastAsia="zh-CN"/>
    </w:rPr>
  </w:style>
  <w:style w:type="paragraph" w:styleId="ListParagraph">
    <w:name w:val="List Paragraph"/>
    <w:basedOn w:val="Normal"/>
    <w:uiPriority w:val="34"/>
    <w:qFormat/>
    <w:rsid w:val="00476E79"/>
    <w:pPr>
      <w:ind w:left="720"/>
      <w:contextualSpacing/>
    </w:pPr>
  </w:style>
  <w:style w:type="character" w:styleId="FollowedHyperlink">
    <w:name w:val="FollowedHyperlink"/>
    <w:basedOn w:val="DefaultParagraphFont"/>
    <w:rsid w:val="00904438"/>
    <w:rPr>
      <w:color w:val="954F72" w:themeColor="followedHyperlink"/>
      <w:u w:val="single"/>
    </w:rPr>
  </w:style>
  <w:style w:type="character" w:customStyle="1" w:styleId="FooterChar">
    <w:name w:val="Footer Char"/>
    <w:basedOn w:val="DefaultParagraphFont"/>
    <w:link w:val="Footer"/>
    <w:uiPriority w:val="99"/>
    <w:rsid w:val="00B43AA3"/>
    <w:rPr>
      <w:rFonts w:ascii="Verdana" w:hAnsi="Verdana"/>
      <w:sz w:val="18"/>
      <w:szCs w:val="24"/>
      <w:lang w:val="nl-NL" w:eastAsia="nl-NL"/>
    </w:rPr>
  </w:style>
  <w:style w:type="character" w:styleId="HTMLCite">
    <w:name w:val="HTML Cite"/>
    <w:basedOn w:val="DefaultParagraphFont"/>
    <w:uiPriority w:val="99"/>
    <w:unhideWhenUsed/>
    <w:rsid w:val="00B2796C"/>
    <w:rPr>
      <w:i/>
      <w:iCs/>
    </w:rPr>
  </w:style>
  <w:style w:type="character" w:customStyle="1" w:styleId="BodyTextChar">
    <w:name w:val="Body Text Char"/>
    <w:basedOn w:val="DefaultParagraphFont"/>
    <w:link w:val="BodyText"/>
    <w:rsid w:val="00B97F73"/>
    <w:rPr>
      <w:rFonts w:ascii="Verdana" w:hAnsi="Verdana"/>
      <w:sz w:val="18"/>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93661">
      <w:bodyDiv w:val="1"/>
      <w:marLeft w:val="0"/>
      <w:marRight w:val="0"/>
      <w:marTop w:val="0"/>
      <w:marBottom w:val="0"/>
      <w:divBdr>
        <w:top w:val="none" w:sz="0" w:space="0" w:color="auto"/>
        <w:left w:val="none" w:sz="0" w:space="0" w:color="auto"/>
        <w:bottom w:val="none" w:sz="0" w:space="0" w:color="auto"/>
        <w:right w:val="none" w:sz="0" w:space="0" w:color="auto"/>
      </w:divBdr>
      <w:divsChild>
        <w:div w:id="1975795150">
          <w:marLeft w:val="0"/>
          <w:marRight w:val="0"/>
          <w:marTop w:val="0"/>
          <w:marBottom w:val="0"/>
          <w:divBdr>
            <w:top w:val="none" w:sz="0" w:space="0" w:color="auto"/>
            <w:left w:val="none" w:sz="0" w:space="0" w:color="auto"/>
            <w:bottom w:val="none" w:sz="0" w:space="0" w:color="auto"/>
            <w:right w:val="none" w:sz="0" w:space="0" w:color="auto"/>
          </w:divBdr>
          <w:divsChild>
            <w:div w:id="86582384">
              <w:marLeft w:val="0"/>
              <w:marRight w:val="0"/>
              <w:marTop w:val="0"/>
              <w:marBottom w:val="0"/>
              <w:divBdr>
                <w:top w:val="none" w:sz="0" w:space="0" w:color="auto"/>
                <w:left w:val="none" w:sz="0" w:space="0" w:color="auto"/>
                <w:bottom w:val="none" w:sz="0" w:space="0" w:color="auto"/>
                <w:right w:val="none" w:sz="0" w:space="0" w:color="auto"/>
              </w:divBdr>
              <w:divsChild>
                <w:div w:id="1368020911">
                  <w:marLeft w:val="-225"/>
                  <w:marRight w:val="-225"/>
                  <w:marTop w:val="0"/>
                  <w:marBottom w:val="0"/>
                  <w:divBdr>
                    <w:top w:val="none" w:sz="0" w:space="0" w:color="auto"/>
                    <w:left w:val="none" w:sz="0" w:space="0" w:color="auto"/>
                    <w:bottom w:val="none" w:sz="0" w:space="0" w:color="auto"/>
                    <w:right w:val="none" w:sz="0" w:space="0" w:color="auto"/>
                  </w:divBdr>
                  <w:divsChild>
                    <w:div w:id="1714845656">
                      <w:marLeft w:val="0"/>
                      <w:marRight w:val="0"/>
                      <w:marTop w:val="0"/>
                      <w:marBottom w:val="0"/>
                      <w:divBdr>
                        <w:top w:val="none" w:sz="0" w:space="0" w:color="auto"/>
                        <w:left w:val="none" w:sz="0" w:space="0" w:color="auto"/>
                        <w:bottom w:val="none" w:sz="0" w:space="0" w:color="auto"/>
                        <w:right w:val="none" w:sz="0" w:space="0" w:color="auto"/>
                      </w:divBdr>
                      <w:divsChild>
                        <w:div w:id="1314067691">
                          <w:marLeft w:val="0"/>
                          <w:marRight w:val="0"/>
                          <w:marTop w:val="0"/>
                          <w:marBottom w:val="0"/>
                          <w:divBdr>
                            <w:top w:val="none" w:sz="0" w:space="0" w:color="auto"/>
                            <w:left w:val="none" w:sz="0" w:space="0" w:color="auto"/>
                            <w:bottom w:val="none" w:sz="0" w:space="0" w:color="auto"/>
                            <w:right w:val="none" w:sz="0" w:space="0" w:color="auto"/>
                          </w:divBdr>
                          <w:divsChild>
                            <w:div w:id="579022406">
                              <w:marLeft w:val="0"/>
                              <w:marRight w:val="0"/>
                              <w:marTop w:val="0"/>
                              <w:marBottom w:val="0"/>
                              <w:divBdr>
                                <w:top w:val="none" w:sz="0" w:space="0" w:color="auto"/>
                                <w:left w:val="none" w:sz="0" w:space="0" w:color="auto"/>
                                <w:bottom w:val="none" w:sz="0" w:space="0" w:color="auto"/>
                                <w:right w:val="none" w:sz="0" w:space="0" w:color="auto"/>
                              </w:divBdr>
                              <w:divsChild>
                                <w:div w:id="478227677">
                                  <w:marLeft w:val="-225"/>
                                  <w:marRight w:val="-225"/>
                                  <w:marTop w:val="0"/>
                                  <w:marBottom w:val="0"/>
                                  <w:divBdr>
                                    <w:top w:val="none" w:sz="0" w:space="0" w:color="auto"/>
                                    <w:left w:val="none" w:sz="0" w:space="0" w:color="auto"/>
                                    <w:bottom w:val="none" w:sz="0" w:space="0" w:color="auto"/>
                                    <w:right w:val="none" w:sz="0" w:space="0" w:color="auto"/>
                                  </w:divBdr>
                                  <w:divsChild>
                                    <w:div w:id="16583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9451444">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784467787">
      <w:bodyDiv w:val="1"/>
      <w:marLeft w:val="0"/>
      <w:marRight w:val="0"/>
      <w:marTop w:val="0"/>
      <w:marBottom w:val="0"/>
      <w:divBdr>
        <w:top w:val="none" w:sz="0" w:space="0" w:color="auto"/>
        <w:left w:val="none" w:sz="0" w:space="0" w:color="auto"/>
        <w:bottom w:val="none" w:sz="0" w:space="0" w:color="auto"/>
        <w:right w:val="none" w:sz="0" w:space="0" w:color="auto"/>
      </w:divBdr>
    </w:div>
    <w:div w:id="1618633672">
      <w:bodyDiv w:val="1"/>
      <w:marLeft w:val="0"/>
      <w:marRight w:val="0"/>
      <w:marTop w:val="0"/>
      <w:marBottom w:val="0"/>
      <w:divBdr>
        <w:top w:val="none" w:sz="0" w:space="0" w:color="auto"/>
        <w:left w:val="none" w:sz="0" w:space="0" w:color="auto"/>
        <w:bottom w:val="none" w:sz="0" w:space="0" w:color="auto"/>
        <w:right w:val="none" w:sz="0" w:space="0" w:color="auto"/>
      </w:divBdr>
    </w:div>
    <w:div w:id="2041931790">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91A8C-ED76-4827-B558-E210A22AB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3.xml><?xml version="1.0" encoding="utf-8"?>
<ds:datastoreItem xmlns:ds="http://schemas.openxmlformats.org/officeDocument/2006/customXml" ds:itemID="{7CCD10F3-1D72-4CE8-9952-E5FCA83A76E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552A6CEA-1443-4724-AD5E-8C68D7783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6D209A1B</Template>
  <TotalTime>21</TotalTime>
  <Pages>19</Pages>
  <Words>7132</Words>
  <Characters>39227</Characters>
  <Application>Microsoft Office Word</Application>
  <DocSecurity>0</DocSecurity>
  <Lines>326</Lines>
  <Paragraphs>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46267</CharactersWithSpaces>
  <SharedDoc>false</SharedDoc>
  <HLinks>
    <vt:vector size="30" baseType="variant">
      <vt:variant>
        <vt:i4>3735590</vt:i4>
      </vt:variant>
      <vt:variant>
        <vt:i4>12</vt:i4>
      </vt:variant>
      <vt:variant>
        <vt:i4>0</vt:i4>
      </vt:variant>
      <vt:variant>
        <vt:i4>5</vt:i4>
      </vt:variant>
      <vt:variant>
        <vt:lpwstr>http://unctad.org/en/Pages/DITC/Gender-and-Trade/Trade,-Gender-and-Development.aspx</vt:lpwstr>
      </vt:variant>
      <vt:variant>
        <vt:lpwstr/>
      </vt:variant>
      <vt:variant>
        <vt:i4>5767183</vt:i4>
      </vt:variant>
      <vt:variant>
        <vt:i4>9</vt:i4>
      </vt:variant>
      <vt:variant>
        <vt:i4>0</vt:i4>
      </vt:variant>
      <vt:variant>
        <vt:i4>5</vt:i4>
      </vt:variant>
      <vt:variant>
        <vt:lpwstr>http://unctad.org/en/pages/publications/G-20-Trade-and-Investment-Measures-(Series).aspx</vt:lpwstr>
      </vt:variant>
      <vt:variant>
        <vt:lpwstr/>
      </vt:variant>
      <vt:variant>
        <vt:i4>1507356</vt:i4>
      </vt:variant>
      <vt:variant>
        <vt:i4>6</vt:i4>
      </vt:variant>
      <vt:variant>
        <vt:i4>0</vt:i4>
      </vt:variant>
      <vt:variant>
        <vt:i4>5</vt:i4>
      </vt:variant>
      <vt:variant>
        <vt:lpwstr>http://unctad.org/meetings/en/Miscellaneous Documents/MinimumRequirementsRMB.pdf</vt:lpwstr>
      </vt:variant>
      <vt:variant>
        <vt:lpwstr/>
      </vt:variant>
      <vt:variant>
        <vt:i4>786510</vt:i4>
      </vt:variant>
      <vt:variant>
        <vt:i4>3</vt:i4>
      </vt:variant>
      <vt:variant>
        <vt:i4>0</vt:i4>
      </vt:variant>
      <vt:variant>
        <vt:i4>5</vt:i4>
      </vt:variant>
      <vt:variant>
        <vt:lpwstr>http://unctad.org/en/Pages/About UNCTAD/Relationship-with-other-agencies.aspx</vt:lpwstr>
      </vt:variant>
      <vt:variant>
        <vt:lpwstr/>
      </vt:variant>
      <vt:variant>
        <vt:i4>3538998</vt:i4>
      </vt:variant>
      <vt:variant>
        <vt:i4>0</vt:i4>
      </vt:variant>
      <vt:variant>
        <vt:i4>0</vt:i4>
      </vt:variant>
      <vt:variant>
        <vt:i4>5</vt:i4>
      </vt:variant>
      <vt:variant>
        <vt:lpwstr>https://www.un.org/ecosoc/sites/www.un.org.ecosoc/files/files/en/qcpr/qcpr-2016-hq-agency-survey-report.pdf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subject/>
  <dc:creator>Han Huiskamp</dc:creator>
  <cp:keywords/>
  <dc:description/>
  <cp:lastModifiedBy>Hengelaar, Dieke</cp:lastModifiedBy>
  <cp:revision>3</cp:revision>
  <cp:lastPrinted>2017-06-30T12:32:00Z</cp:lastPrinted>
  <dcterms:created xsi:type="dcterms:W3CDTF">2017-08-23T14:09:00Z</dcterms:created>
  <dcterms:modified xsi:type="dcterms:W3CDTF">2017-08-25T12:41:00Z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y fmtid="{D5CDD505-2E9C-101B-9397-08002B2CF9AE}" pid="20" name="IsMyDocuments">
    <vt:bool>true</vt:bool>
  </property>
</Properties>
</file>